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ind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ind w:right="0"/>
        <w:jc w:val="center"/>
        <w:rPr>
          <w:rFonts w:ascii="Verdana" w:hAnsi="Verdana"/>
          <w:sz w:val="20"/>
          <w:szCs w:val="20"/>
        </w:rPr>
      </w:pPr>
      <w:r>
        <w:rPr>
          <w:rFonts w:eastAsia="Arial" w:cs="Arial" w:ascii="Verdana" w:hAnsi="Verdana"/>
          <w:b/>
          <w:sz w:val="20"/>
          <w:szCs w:val="20"/>
          <w:u w:val="single"/>
        </w:rPr>
        <w:t>ESTUDO TÉCNICO PRELIMINAR 12</w:t>
      </w:r>
      <w:r>
        <w:rPr>
          <w:rFonts w:eastAsia="Arial" w:cs="Arial" w:ascii="Verdana" w:hAnsi="Verdana"/>
          <w:b/>
          <w:color w:val="auto"/>
          <w:kern w:val="0"/>
          <w:sz w:val="20"/>
          <w:szCs w:val="20"/>
          <w:u w:val="single"/>
          <w:lang w:val="pt-BR" w:eastAsia="zh-CN" w:bidi="ar-SA"/>
        </w:rPr>
        <w:t>/2026</w:t>
      </w:r>
    </w:p>
    <w:p>
      <w:pPr>
        <w:pStyle w:val="Normal"/>
        <w:tabs>
          <w:tab w:val="clear" w:pos="708"/>
          <w:tab w:val="left" w:pos="3390" w:leader="none"/>
          <w:tab w:val="center" w:pos="5032" w:leader="none"/>
        </w:tabs>
        <w:spacing w:lineRule="auto" w:line="240" w:before="0" w:after="0"/>
        <w:ind w:right="0"/>
        <w:jc w:val="center"/>
        <w:rPr>
          <w:rFonts w:ascii="Verdana" w:hAnsi="Verdana" w:eastAsia="Arial" w:cs="Arial"/>
          <w:b/>
          <w:color w:val="auto"/>
          <w:kern w:val="0"/>
          <w:sz w:val="20"/>
          <w:szCs w:val="20"/>
          <w:u w:val="single"/>
          <w:lang w:val="pt-BR" w:eastAsia="zh-CN" w:bidi="ar-SA"/>
        </w:rPr>
      </w:pPr>
      <w:r>
        <w:rPr>
          <w:rFonts w:eastAsia="Arial" w:cs="Arial" w:ascii="Verdana" w:hAnsi="Verdana"/>
          <w:b/>
          <w:color w:val="auto"/>
          <w:kern w:val="0"/>
          <w:sz w:val="20"/>
          <w:szCs w:val="20"/>
          <w:u w:val="single"/>
          <w:lang w:val="pt-BR" w:eastAsia="zh-CN" w:bidi="ar-SA"/>
        </w:rPr>
      </w:r>
    </w:p>
    <w:p>
      <w:pPr>
        <w:pStyle w:val="Normal"/>
        <w:tabs>
          <w:tab w:val="clear" w:pos="708"/>
          <w:tab w:val="left" w:pos="3390" w:leader="none"/>
          <w:tab w:val="center" w:pos="5032" w:leader="none"/>
        </w:tabs>
        <w:spacing w:lineRule="auto" w:line="240" w:before="0" w:after="0"/>
        <w:ind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ind w:right="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40" w:before="0" w:after="0"/>
        <w:ind w:right="0"/>
        <w:rPr>
          <w:rFonts w:ascii="Verdana" w:hAnsi="Verdana" w:eastAsia="Arial" w:cs="Arial"/>
          <w:b/>
          <w:sz w:val="20"/>
          <w:szCs w:val="20"/>
        </w:rPr>
      </w:pPr>
      <w:r>
        <w:rPr>
          <w:rFonts w:eastAsia="Arial" w:cs="Arial" w:ascii="Verdana" w:hAnsi="Verdana"/>
          <w:b/>
          <w:sz w:val="20"/>
          <w:szCs w:val="20"/>
        </w:rPr>
      </w:r>
    </w:p>
    <w:p>
      <w:pPr>
        <w:pStyle w:val="Normal"/>
        <w:tabs>
          <w:tab w:val="clear" w:pos="708"/>
          <w:tab w:val="left" w:pos="3390" w:leader="none"/>
          <w:tab w:val="center" w:pos="5032" w:leader="none"/>
        </w:tabs>
        <w:spacing w:lineRule="auto" w:line="240" w:before="0" w:after="0"/>
        <w:ind w:right="0"/>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left"/>
        <w:rPr>
          <w:rFonts w:ascii="Verdana" w:hAnsi="Verdana"/>
          <w:sz w:val="20"/>
          <w:szCs w:val="20"/>
        </w:rPr>
      </w:pPr>
      <w:r>
        <w:rPr>
          <w:rFonts w:eastAsia="Arial" w:cs="Arial" w:ascii="Verdana" w:hAnsi="Verdana"/>
          <w:b/>
          <w:sz w:val="20"/>
          <w:szCs w:val="20"/>
        </w:rPr>
        <w:t xml:space="preserve">1.1. Processo Administrativo nº ______/2026. </w:t>
      </w:r>
    </w:p>
    <w:p>
      <w:pPr>
        <w:pStyle w:val="ListParagraph"/>
        <w:tabs>
          <w:tab w:val="clear" w:pos="708"/>
          <w:tab w:val="left" w:pos="3390" w:leader="none"/>
          <w:tab w:val="center" w:pos="5032" w:leader="none"/>
        </w:tabs>
        <w:spacing w:lineRule="auto" w:line="240" w:before="0" w:after="0"/>
        <w:ind w:hanging="0" w:left="720" w:right="0"/>
        <w:contextualSpacing/>
        <w:rPr>
          <w:rFonts w:ascii="Verdana" w:hAnsi="Verdana" w:eastAsia="Arial" w:cs="Arial"/>
          <w:b/>
          <w:sz w:val="20"/>
          <w:szCs w:val="20"/>
        </w:rPr>
      </w:pPr>
      <w:r>
        <w:rPr>
          <w:rFonts w:eastAsia="Arial" w:cs="Arial" w:ascii="Verdana" w:hAnsi="Verdana"/>
          <w:b/>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center"/>
        <w:rPr>
          <w:rFonts w:ascii="Verdana" w:hAnsi="Verdana"/>
          <w:sz w:val="20"/>
          <w:szCs w:val="20"/>
        </w:rPr>
      </w:pPr>
      <w:r>
        <w:rPr>
          <w:rFonts w:eastAsia="Arial" w:cs="Arial" w:ascii="Verdana" w:hAnsi="Verdana"/>
          <w:b/>
          <w:bCs/>
          <w:color w:val="000000"/>
          <w:kern w:val="0"/>
          <w:sz w:val="20"/>
          <w:szCs w:val="20"/>
          <w:shd w:fill="auto" w:val="clear"/>
          <w:lang w:val="pt-BR" w:eastAsia="zh-CN" w:bidi="ar-SA"/>
        </w:rPr>
        <w:t>REGISTRO DE PREÇOS DE EQUIPAMENTOS DE INFORMÁTICA PARA UTILIZAÇÃO NAS SECRETARIAS DE ASSISTÊNCIA SOCIAL E PREFEITURA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center"/>
        <w:rPr>
          <w:rFonts w:ascii="Verdana" w:hAnsi="Verdana" w:eastAsia="Arial" w:cs="Arial"/>
          <w:b/>
          <w:bCs/>
          <w:color w:val="000000"/>
          <w:kern w:val="0"/>
          <w:sz w:val="20"/>
          <w:szCs w:val="20"/>
          <w:shd w:fill="auto" w:val="clear"/>
          <w:lang w:val="pt-BR" w:eastAsia="zh-CN" w:bidi="ar-SA"/>
        </w:rPr>
      </w:pPr>
      <w:r>
        <w:rPr>
          <w:rFonts w:eastAsia="Arial" w:cs="Arial" w:ascii="Verdana" w:hAnsi="Verdana"/>
          <w:b/>
          <w:bCs/>
          <w:color w:val="000000"/>
          <w:kern w:val="0"/>
          <w:sz w:val="20"/>
          <w:szCs w:val="20"/>
          <w:shd w:fill="auto" w:val="clear"/>
          <w:lang w:val="pt-BR" w:eastAsia="zh-CN" w:bidi="ar-SA"/>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Normal"/>
        <w:spacing w:lineRule="auto" w:line="240" w:before="0" w:after="0"/>
        <w:ind w:right="0"/>
        <w:jc w:val="both"/>
        <w:rPr>
          <w:rFonts w:ascii="Verdana" w:hAnsi="Verdana" w:cs="Arial"/>
          <w:sz w:val="20"/>
          <w:szCs w:val="20"/>
        </w:rPr>
      </w:pPr>
      <w:r>
        <w:rPr>
          <w:rFonts w:cs="Arial" w:ascii="Verdana" w:hAnsi="Verdana"/>
          <w:sz w:val="20"/>
          <w:szCs w:val="20"/>
        </w:rPr>
      </w:r>
    </w:p>
    <w:p>
      <w:pPr>
        <w:pStyle w:val="Normal"/>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pacing w:lineRule="auto" w:line="240" w:before="0" w:after="0"/>
        <w:ind w:right="0"/>
        <w:jc w:val="both"/>
        <w:rPr>
          <w:rFonts w:ascii="Verdana" w:hAnsi="Verdana"/>
          <w:sz w:val="20"/>
          <w:szCs w:val="20"/>
        </w:rPr>
      </w:pPr>
      <w:r>
        <w:rPr>
          <w:rFonts w:cs="Arial" w:ascii="Verdana" w:hAnsi="Verdana"/>
          <w:b/>
          <w:sz w:val="20"/>
          <w:szCs w:val="20"/>
        </w:rPr>
        <w:t>2. LOCAL DE ENTREGA</w:t>
      </w:r>
    </w:p>
    <w:p>
      <w:pPr>
        <w:pStyle w:val="Normal"/>
        <w:spacing w:lineRule="auto" w:line="240" w:before="0" w:after="0"/>
        <w:ind w:right="0"/>
        <w:jc w:val="both"/>
        <w:rPr>
          <w:rFonts w:ascii="Verdana" w:hAnsi="Verdana"/>
          <w:sz w:val="20"/>
          <w:szCs w:val="20"/>
        </w:rPr>
      </w:pPr>
      <w:r>
        <w:rPr>
          <w:rFonts w:eastAsia="Times New Roman" w:cs="Arial" w:ascii="Verdana" w:hAnsi="Verdana"/>
          <w:b/>
          <w:color w:val="auto"/>
          <w:kern w:val="0"/>
          <w:sz w:val="20"/>
          <w:szCs w:val="20"/>
          <w:lang w:val="pt-BR" w:eastAsia="zh-CN" w:bidi="ar-SA"/>
        </w:rPr>
        <w:t>PraçaVicente Glazar, 159 - B</w:t>
      </w:r>
      <w:r>
        <w:rPr>
          <w:rFonts w:cs="Arial" w:ascii="Verdana" w:hAnsi="Verdana"/>
          <w:b/>
          <w:sz w:val="20"/>
          <w:szCs w:val="20"/>
        </w:rPr>
        <w:t>airro Glória</w:t>
      </w:r>
    </w:p>
    <w:p>
      <w:pPr>
        <w:pStyle w:val="Normal"/>
        <w:spacing w:lineRule="auto" w:line="240" w:before="0" w:after="0"/>
        <w:ind w:right="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CENTRAL</w:t>
      </w:r>
    </w:p>
    <w:p>
      <w:pPr>
        <w:pStyle w:val="Normal"/>
        <w:spacing w:lineRule="auto" w:line="240" w:before="0" w:after="0"/>
        <w:ind w:right="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ind w:right="0"/>
        <w:jc w:val="both"/>
        <w:rPr>
          <w:rFonts w:ascii="Verdana" w:hAnsi="Verdana"/>
          <w:sz w:val="20"/>
          <w:szCs w:val="20"/>
        </w:rPr>
      </w:pPr>
      <w:r>
        <w:rPr>
          <w:rFonts w:cs="Arial" w:ascii="Verdana" w:hAnsi="Verdana"/>
          <w:b/>
          <w:sz w:val="20"/>
          <w:szCs w:val="20"/>
        </w:rPr>
        <w:t>CEP 29.7800-000</w:t>
      </w:r>
    </w:p>
    <w:p>
      <w:pPr>
        <w:pStyle w:val="Normal"/>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pacing w:lineRule="auto" w:line="240" w:before="0" w:after="0"/>
        <w:ind w:right="0"/>
        <w:jc w:val="both"/>
        <w:rPr>
          <w:rFonts w:ascii="Verdana" w:hAnsi="Verdana"/>
          <w:sz w:val="20"/>
          <w:szCs w:val="20"/>
        </w:rPr>
      </w:pPr>
      <w:r>
        <w:rPr>
          <w:rFonts w:cs="Arial" w:ascii="Verdana" w:hAnsi="Verdana"/>
          <w:b/>
          <w:sz w:val="20"/>
          <w:szCs w:val="20"/>
        </w:rPr>
        <w:t>3. CONTATO</w:t>
      </w:r>
    </w:p>
    <w:p>
      <w:pPr>
        <w:pStyle w:val="Normal"/>
        <w:spacing w:lineRule="auto" w:line="240" w:before="0" w:after="0"/>
        <w:ind w:right="0"/>
        <w:jc w:val="both"/>
        <w:rPr>
          <w:rFonts w:ascii="Verdana" w:hAnsi="Verdana"/>
          <w:sz w:val="20"/>
          <w:szCs w:val="20"/>
        </w:rPr>
      </w:pPr>
      <w:r>
        <w:rPr>
          <w:rFonts w:cs="Arial" w:ascii="Verdana" w:hAnsi="Verdana"/>
          <w:b/>
          <w:sz w:val="20"/>
          <w:szCs w:val="20"/>
        </w:rPr>
        <w:t xml:space="preserve">Tel: 27 </w:t>
      </w:r>
      <w:r>
        <w:rPr>
          <w:rFonts w:eastAsia="Times New Roman" w:cs="Arial" w:ascii="Verdana" w:hAnsi="Verdana"/>
          <w:b/>
          <w:color w:val="auto"/>
          <w:kern w:val="0"/>
          <w:sz w:val="20"/>
          <w:szCs w:val="20"/>
          <w:lang w:val="pt-BR" w:eastAsia="zh-CN" w:bidi="ar-SA"/>
        </w:rPr>
        <w:t>99975-6571</w:t>
      </w:r>
    </w:p>
    <w:p>
      <w:pPr>
        <w:pStyle w:val="Normal"/>
        <w:spacing w:lineRule="auto" w:line="240" w:before="0" w:after="0"/>
        <w:ind w:right="0"/>
        <w:jc w:val="both"/>
        <w:rPr/>
      </w:pPr>
      <w:r>
        <w:rPr>
          <w:rFonts w:cs="Arial" w:ascii="Verdana" w:hAnsi="Verdana"/>
          <w:b/>
          <w:sz w:val="20"/>
          <w:szCs w:val="20"/>
        </w:rPr>
        <w:t xml:space="preserve">Email: </w:t>
      </w:r>
      <w:hyperlink r:id="rId2">
        <w:r>
          <w:rPr>
            <w:rStyle w:val="Hyperlink"/>
            <w:rFonts w:eastAsia="Times New Roman" w:cs="Arial" w:ascii="Verdana" w:hAnsi="Verdana"/>
            <w:b w:val="false"/>
            <w:bCs w:val="false"/>
            <w:color w:val="auto"/>
            <w:kern w:val="0"/>
            <w:sz w:val="20"/>
            <w:szCs w:val="20"/>
            <w:lang w:val="pt-BR" w:eastAsia="zh-CN" w:bidi="ar-SA"/>
          </w:rPr>
          <w:t>assistenciasgp@gmail.com</w:t>
        </w:r>
      </w:hyperlink>
      <w:r>
        <w:rPr>
          <w:rFonts w:eastAsia="Times New Roman" w:cs="Arial" w:ascii="Verdana" w:hAnsi="Verdana"/>
          <w:b w:val="false"/>
          <w:bCs w:val="false"/>
          <w:color w:val="auto"/>
          <w:kern w:val="0"/>
          <w:sz w:val="20"/>
          <w:szCs w:val="20"/>
          <w:lang w:val="pt-BR" w:eastAsia="zh-CN" w:bidi="ar-SA"/>
        </w:rPr>
        <w:t xml:space="preserve"> </w:t>
      </w:r>
    </w:p>
    <w:p>
      <w:pPr>
        <w:pStyle w:val="Normal"/>
        <w:spacing w:lineRule="auto" w:line="240" w:before="0" w:after="0"/>
        <w:ind w:right="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 xml:space="preserve">Secretaria Municipal de </w:t>
      </w:r>
      <w:r>
        <w:rPr>
          <w:rFonts w:eastAsia="Times New Roman" w:cs="Arial" w:ascii="Verdana" w:hAnsi="Verdana"/>
          <w:b w:val="false"/>
          <w:bCs w:val="false"/>
          <w:color w:val="auto"/>
          <w:kern w:val="0"/>
          <w:sz w:val="20"/>
          <w:szCs w:val="20"/>
          <w:lang w:val="pt-BR" w:eastAsia="zh-CN" w:bidi="ar-SA"/>
        </w:rPr>
        <w:t>Assistência, Desenvolvimento Social e Família</w:t>
      </w:r>
      <w:r>
        <w:rPr>
          <w:rFonts w:cs="Arial" w:ascii="Verdana" w:hAnsi="Verdana"/>
          <w:b/>
          <w:sz w:val="20"/>
          <w:szCs w:val="20"/>
        </w:rPr>
        <w:t xml:space="preserve"> </w:t>
      </w:r>
    </w:p>
    <w:p>
      <w:pPr>
        <w:pStyle w:val="Normal"/>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hd w:val="clear" w:fill="FFFFFF"/>
        <w:spacing w:lineRule="auto" w:line="240" w:before="0" w:after="0"/>
        <w:ind w:right="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ind w:right="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 xml:space="preserve">A contratação pretendida tem consonância com o planejamento estratégico das </w:t>
      </w:r>
      <w:r>
        <w:rPr>
          <w:rFonts w:eastAsia="Arial" w:cs="Arial" w:ascii="Verdana" w:hAnsi="Verdana"/>
          <w:b w:val="false"/>
          <w:bCs w:val="false"/>
          <w:color w:val="auto"/>
          <w:kern w:val="0"/>
          <w:sz w:val="20"/>
          <w:szCs w:val="20"/>
          <w:lang w:val="pt-BR" w:eastAsia="zh-CN" w:bidi="ar-SA"/>
        </w:rPr>
        <w:t xml:space="preserve">Secretarias Municipais como um todo </w:t>
      </w:r>
      <w:r>
        <w:rPr>
          <w:rFonts w:eastAsia="Arial" w:cs="Arial" w:ascii="Verdana" w:hAnsi="Verdana"/>
          <w:b w:val="false"/>
          <w:bCs w:val="false"/>
          <w:sz w:val="20"/>
          <w:szCs w:val="20"/>
        </w:rPr>
        <w:t>manifestada pela Secretaria de Administração que integra o processo.</w:t>
      </w:r>
    </w:p>
    <w:p>
      <w:pPr>
        <w:pStyle w:val="Normal"/>
        <w:spacing w:lineRule="auto" w:line="240" w:before="0" w:after="0"/>
        <w:ind w:right="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sob o número </w:t>
      </w:r>
      <w:r>
        <w:rPr>
          <w:rFonts w:eastAsia="Arial" w:cs="Arial" w:ascii="Verdana" w:hAnsi="Verdana"/>
          <w:b w:val="false"/>
          <w:bCs w:val="false"/>
          <w:color w:val="000000"/>
          <w:kern w:val="0"/>
          <w:sz w:val="20"/>
          <w:szCs w:val="20"/>
          <w:shd w:fill="auto" w:val="clear"/>
          <w:lang w:val="pt-BR" w:eastAsia="zh-CN" w:bidi="ar-SA"/>
        </w:rPr>
        <w:t>012/2026</w:t>
      </w:r>
      <w:r>
        <w:rPr>
          <w:rFonts w:eastAsia="Arial" w:cs="Arial" w:ascii="Verdana" w:hAnsi="Verdana"/>
          <w:b w:val="false"/>
          <w:bCs w:val="false"/>
          <w:sz w:val="20"/>
          <w:szCs w:val="20"/>
          <w:shd w:fill="auto" w:val="clear"/>
        </w:rPr>
        <w:t xml:space="preserve">, que contempla </w:t>
      </w:r>
      <w:r>
        <w:rPr>
          <w:rFonts w:eastAsia="Arial" w:cs="Arial" w:ascii="Verdana" w:hAnsi="Verdana"/>
          <w:b w:val="false"/>
          <w:bCs w:val="false"/>
          <w:color w:val="000000"/>
          <w:kern w:val="0"/>
          <w:sz w:val="20"/>
          <w:szCs w:val="20"/>
          <w:shd w:fill="auto" w:val="clear"/>
          <w:lang w:val="pt-BR" w:eastAsia="zh-CN" w:bidi="ar-SA"/>
        </w:rPr>
        <w:t>o registro de preços dos equipamentos</w:t>
      </w:r>
      <w:r>
        <w:rPr>
          <w:rFonts w:eastAsia="Arial" w:cs="Arial" w:ascii="Verdana" w:hAnsi="Verdana"/>
          <w:b w:val="false"/>
          <w:bCs w:val="false"/>
          <w:sz w:val="20"/>
          <w:szCs w:val="20"/>
          <w:shd w:fill="auto" w:val="clear"/>
        </w:rPr>
        <w:t xml:space="preserve">. </w:t>
      </w:r>
    </w:p>
    <w:p>
      <w:pPr>
        <w:pStyle w:val="Normal"/>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pacing w:lineRule="auto" w:line="240" w:before="0" w:after="0"/>
        <w:ind w:right="0"/>
        <w:jc w:val="both"/>
        <w:rPr>
          <w:rFonts w:ascii="Verdana" w:hAnsi="Verdana"/>
          <w:sz w:val="20"/>
          <w:szCs w:val="20"/>
        </w:rPr>
      </w:pPr>
      <w:r>
        <w:rPr>
          <w:rFonts w:cs="Arial" w:ascii="Verdana" w:hAnsi="Verdana"/>
          <w:b/>
          <w:sz w:val="20"/>
          <w:szCs w:val="20"/>
        </w:rPr>
        <w:t>5. DESCRIÇÃO DA NECESSIDADE</w:t>
      </w:r>
    </w:p>
    <w:p>
      <w:pPr>
        <w:pStyle w:val="ListParagraph"/>
        <w:widowControl/>
        <w:suppressAutoHyphens w:val="true"/>
        <w:bidi w:val="0"/>
        <w:spacing w:lineRule="auto" w:line="240" w:before="0" w:after="0"/>
        <w:ind w:hanging="0" w:left="0" w:right="0"/>
        <w:contextualSpacing/>
        <w:jc w:val="both"/>
        <w:rPr>
          <w:rFonts w:ascii="Verdana" w:hAnsi="Verdana"/>
          <w:sz w:val="20"/>
          <w:szCs w:val="20"/>
        </w:rPr>
      </w:pPr>
      <w:r>
        <w:rPr>
          <w:rFonts w:cs="Arial" w:ascii="Verdana" w:hAnsi="Verdana"/>
          <w:b/>
          <w:bCs/>
          <w:sz w:val="20"/>
          <w:szCs w:val="20"/>
        </w:rPr>
        <w:t xml:space="preserve">5.1. </w:t>
      </w:r>
      <w:r>
        <w:rPr>
          <w:rFonts w:cs="Arial" w:ascii="Verdana" w:hAnsi="Verdana"/>
          <w:b w:val="false"/>
          <w:bCs w:val="false"/>
          <w:sz w:val="20"/>
          <w:szCs w:val="20"/>
        </w:rPr>
        <w:t xml:space="preserve">Os materiais e equipamentos indicados neste estudo são objeto de necessidade nas Secretarias  municipais visando otimizar atendimento, proporcionar melhor ambiente de trabalho, promover qualidade de vida dos servidores e agilidade nas atividades realizadas.    </w:t>
      </w:r>
      <w:r>
        <w:rPr>
          <w:rFonts w:cs="Arial" w:ascii="Verdana" w:hAnsi="Verdana"/>
          <w:b/>
          <w:bCs/>
          <w:sz w:val="20"/>
          <w:szCs w:val="20"/>
        </w:rPr>
        <w:t xml:space="preserve"> </w:t>
      </w:r>
    </w:p>
    <w:p>
      <w:pPr>
        <w:pStyle w:val="ListParagraph"/>
        <w:widowControl/>
        <w:suppressAutoHyphens w:val="true"/>
        <w:bidi w:val="0"/>
        <w:spacing w:lineRule="auto" w:line="240" w:before="0" w:after="0"/>
        <w:ind w:hanging="0" w:left="0" w:right="0"/>
        <w:contextualSpacing/>
        <w:jc w:val="both"/>
        <w:rPr>
          <w:rFonts w:ascii="Verdana" w:hAnsi="Verdana"/>
          <w:sz w:val="20"/>
          <w:szCs w:val="20"/>
        </w:rPr>
      </w:pPr>
      <w:r>
        <w:rPr>
          <w:rFonts w:cs="Arial" w:ascii="Verdana" w:hAnsi="Verdana"/>
          <w:b/>
          <w:bCs/>
          <w:sz w:val="20"/>
          <w:szCs w:val="20"/>
        </w:rPr>
        <w:t xml:space="preserve">5.2. </w:t>
      </w:r>
      <w:r>
        <w:rPr>
          <w:rFonts w:eastAsia="Calibri" w:cs="Arial" w:ascii="Verdana" w:hAnsi="Verdana"/>
          <w:b w:val="false"/>
          <w:bCs w:val="false"/>
          <w:color w:val="auto"/>
          <w:kern w:val="0"/>
          <w:sz w:val="20"/>
          <w:szCs w:val="20"/>
          <w:lang w:val="pt-BR" w:eastAsia="zh-CN" w:bidi="ar-SA"/>
        </w:rPr>
        <w:t>Os equipamentos e materiais permanentes serão incluídos no patrimônio público de cada Secretaria valorizando o trabalho desenvolvido.</w:t>
      </w:r>
    </w:p>
    <w:p>
      <w:pPr>
        <w:pStyle w:val="ListParagraph"/>
        <w:widowControl/>
        <w:suppressAutoHyphens w:val="true"/>
        <w:bidi w:val="0"/>
        <w:spacing w:lineRule="auto" w:line="240" w:before="0" w:after="0"/>
        <w:ind w:hanging="0" w:left="0" w:right="0"/>
        <w:contextualSpacing/>
        <w:jc w:val="both"/>
        <w:rPr>
          <w:rFonts w:ascii="Verdana" w:hAnsi="Verdana"/>
          <w:sz w:val="20"/>
          <w:szCs w:val="20"/>
        </w:rPr>
      </w:pPr>
      <w:r>
        <w:rPr>
          <w:rFonts w:eastAsia="Calibri" w:cs="Arial" w:ascii="Verdana" w:hAnsi="Verdana"/>
          <w:b/>
          <w:bCs/>
          <w:color w:val="auto"/>
          <w:kern w:val="0"/>
          <w:sz w:val="20"/>
          <w:szCs w:val="20"/>
          <w:lang w:val="pt-BR" w:eastAsia="zh-CN" w:bidi="ar-SA"/>
        </w:rPr>
        <w:t>5.3.</w:t>
      </w:r>
      <w:r>
        <w:rPr>
          <w:rFonts w:eastAsia="Calibri" w:cs="Arial" w:ascii="Verdana" w:hAnsi="Verdana"/>
          <w:b w:val="false"/>
          <w:bCs w:val="false"/>
          <w:color w:val="auto"/>
          <w:kern w:val="0"/>
          <w:sz w:val="20"/>
          <w:szCs w:val="20"/>
          <w:lang w:val="pt-BR" w:eastAsia="zh-CN" w:bidi="ar-SA"/>
        </w:rPr>
        <w:t xml:space="preserve"> Com previsão de recebimento de recursos por meio de emendas parlamentares para aquisição dos itens, o registro de preços se mostra o método mais vantajoso para a administração pública.</w:t>
      </w:r>
    </w:p>
    <w:p>
      <w:pPr>
        <w:pStyle w:val="ListParagraph"/>
        <w:widowControl/>
        <w:suppressAutoHyphens w:val="true"/>
        <w:bidi w:val="0"/>
        <w:spacing w:lineRule="auto" w:line="240" w:before="0" w:after="0"/>
        <w:ind w:hanging="0" w:left="0" w:right="0"/>
        <w:contextualSpacing/>
        <w:jc w:val="both"/>
        <w:rPr>
          <w:rFonts w:ascii="Verdana" w:hAnsi="Verdana"/>
          <w:sz w:val="20"/>
          <w:szCs w:val="20"/>
          <w:shd w:fill="auto" w:val="clear"/>
        </w:rPr>
      </w:pPr>
      <w:r>
        <w:rPr>
          <w:rFonts w:ascii="Verdana" w:hAnsi="Verdana"/>
          <w:sz w:val="20"/>
          <w:szCs w:val="20"/>
          <w:shd w:fill="auto" w:val="clear"/>
        </w:rPr>
      </w:r>
    </w:p>
    <w:p>
      <w:pPr>
        <w:pStyle w:val="Normal"/>
        <w:spacing w:lineRule="auto" w:line="240" w:before="0" w:after="0"/>
        <w:ind w:right="0"/>
        <w:rPr>
          <w:rFonts w:ascii="Verdana" w:hAnsi="Verdana"/>
          <w:sz w:val="20"/>
          <w:szCs w:val="20"/>
        </w:rPr>
      </w:pPr>
      <w:r>
        <w:rPr>
          <w:rFonts w:cs="Arial" w:ascii="Verdana" w:hAnsi="Verdana"/>
          <w:b/>
          <w:iCs/>
          <w:sz w:val="20"/>
          <w:szCs w:val="20"/>
        </w:rPr>
        <w:t>6. ÁREA REQUISITANTE</w:t>
      </w:r>
    </w:p>
    <w:p>
      <w:pPr>
        <w:pStyle w:val="Normal"/>
        <w:spacing w:lineRule="auto" w:line="240" w:before="0" w:after="0"/>
        <w:ind w:right="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Assistência, Desenvolvimento Social e Família</w:t>
      </w:r>
    </w:p>
    <w:p>
      <w:pPr>
        <w:pStyle w:val="Normal"/>
        <w:spacing w:lineRule="auto" w:line="240" w:before="0" w:after="0"/>
        <w:ind w:right="0"/>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ind w:right="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40" w:before="0" w:after="0"/>
        <w:ind w:right="0"/>
        <w:jc w:val="both"/>
        <w:rPr>
          <w:rFonts w:ascii="Verdana" w:hAnsi="Verdana"/>
          <w:sz w:val="20"/>
          <w:szCs w:val="20"/>
        </w:rPr>
      </w:pPr>
      <w:r>
        <w:rPr>
          <w:rFonts w:eastAsia="Arial" w:cs="Arial" w:ascii="Verdana" w:hAnsi="Verdana"/>
          <w:b/>
          <w:sz w:val="20"/>
          <w:szCs w:val="20"/>
        </w:rPr>
        <w:t xml:space="preserve">7.1. </w:t>
      </w:r>
      <w:r>
        <w:rPr>
          <w:rFonts w:eastAsia="Arial" w:cs="Arial" w:ascii="Verdana" w:hAnsi="Verdana"/>
          <w:b w:val="false"/>
          <w:bCs w:val="false"/>
          <w:sz w:val="20"/>
          <w:szCs w:val="20"/>
        </w:rPr>
        <w:t xml:space="preserve">A empresa fornecedora será contratada por meio de </w:t>
      </w:r>
      <w:r>
        <w:rPr>
          <w:rFonts w:eastAsia="Arial" w:cs="Arial" w:ascii="Verdana" w:hAnsi="Verdana"/>
          <w:b/>
          <w:bCs/>
          <w:color w:val="auto"/>
          <w:kern w:val="0"/>
          <w:sz w:val="20"/>
          <w:szCs w:val="20"/>
          <w:lang w:val="pt-BR" w:eastAsia="zh-CN" w:bidi="ar-SA"/>
        </w:rPr>
        <w:t xml:space="preserve">licitação para registro de preços </w:t>
      </w:r>
      <w:r>
        <w:rPr>
          <w:rFonts w:eastAsia="Arial" w:cs="Arial" w:ascii="Verdana" w:hAnsi="Verdana"/>
          <w:b w:val="false"/>
          <w:bCs w:val="false"/>
          <w:sz w:val="20"/>
          <w:szCs w:val="20"/>
        </w:rPr>
        <w:t xml:space="preserve">dos materiais constantes neste processo;  </w:t>
      </w:r>
    </w:p>
    <w:p>
      <w:pPr>
        <w:pStyle w:val="Normal"/>
        <w:spacing w:lineRule="auto" w:line="240" w:before="0" w:after="0"/>
        <w:ind w:right="0"/>
        <w:jc w:val="both"/>
        <w:rPr>
          <w:rFonts w:ascii="Verdana" w:hAnsi="Verdana"/>
          <w:sz w:val="20"/>
          <w:szCs w:val="20"/>
        </w:rPr>
      </w:pPr>
      <w:r>
        <w:rPr>
          <w:rFonts w:eastAsia="Arial" w:cs="Arial" w:ascii="Verdana" w:hAnsi="Verdana"/>
          <w:b/>
          <w:bCs/>
          <w:sz w:val="20"/>
          <w:szCs w:val="20"/>
        </w:rPr>
        <w:t>7.2.</w:t>
      </w:r>
      <w:r>
        <w:rPr>
          <w:rFonts w:eastAsia="Arial" w:cs="Arial" w:ascii="Verdana" w:hAnsi="Verdana"/>
          <w:b w:val="false"/>
          <w:bCs w:val="false"/>
          <w:sz w:val="20"/>
          <w:szCs w:val="20"/>
        </w:rPr>
        <w:t xml:space="preserve"> O registro de preços não obriga a administração a adquirir efetivamente os produtos, porém traz agilidade </w:t>
      </w:r>
      <w:r>
        <w:rPr>
          <w:rFonts w:eastAsia="Arial" w:cs="Arial" w:ascii="Verdana" w:hAnsi="Verdana"/>
          <w:b w:val="false"/>
          <w:bCs w:val="false"/>
          <w:color w:val="auto"/>
          <w:kern w:val="0"/>
          <w:sz w:val="20"/>
          <w:szCs w:val="20"/>
          <w:lang w:val="pt-BR" w:eastAsia="zh-CN" w:bidi="ar-SA"/>
        </w:rPr>
        <w:t>no momento da compra</w:t>
      </w:r>
      <w:r>
        <w:rPr>
          <w:rFonts w:eastAsia="Arial" w:cs="Arial" w:ascii="Verdana" w:hAnsi="Verdana"/>
          <w:b w:val="false"/>
          <w:bCs w:val="false"/>
          <w:sz w:val="20"/>
          <w:szCs w:val="20"/>
        </w:rPr>
        <w:t>.</w:t>
      </w:r>
    </w:p>
    <w:p>
      <w:pPr>
        <w:pStyle w:val="Normal"/>
        <w:spacing w:lineRule="auto" w:line="240" w:before="0" w:after="0"/>
        <w:ind w:right="0"/>
        <w:jc w:val="both"/>
        <w:rPr>
          <w:rFonts w:ascii="Verdana" w:hAnsi="Verdana"/>
          <w:sz w:val="20"/>
          <w:szCs w:val="20"/>
        </w:rPr>
      </w:pPr>
      <w:r>
        <w:rPr>
          <w:rFonts w:eastAsia="Arial" w:cs="Arial" w:ascii="Verdana" w:hAnsi="Verdana"/>
          <w:b/>
          <w:bCs/>
          <w:sz w:val="20"/>
          <w:szCs w:val="20"/>
        </w:rPr>
        <w:t>7.3.</w:t>
      </w:r>
      <w:r>
        <w:rPr>
          <w:rFonts w:eastAsia="Arial" w:cs="Arial" w:ascii="Verdana" w:hAnsi="Verdana"/>
          <w:b w:val="false"/>
          <w:bCs w:val="false"/>
          <w:sz w:val="20"/>
          <w:szCs w:val="20"/>
        </w:rPr>
        <w:t xml:space="preserve"> As empresas interessadas em registrar os preços dos produtos deverão se submeter às regras deste Estudo, Termo de Referência e Edital Licitatório;</w:t>
      </w:r>
    </w:p>
    <w:p>
      <w:pPr>
        <w:pStyle w:val="Normal"/>
        <w:spacing w:lineRule="auto" w:line="240" w:before="0" w:after="0"/>
        <w:ind w:right="0"/>
        <w:jc w:val="both"/>
        <w:rPr>
          <w:rFonts w:ascii="Verdana" w:hAnsi="Verdana"/>
          <w:sz w:val="20"/>
          <w:szCs w:val="20"/>
        </w:rPr>
      </w:pPr>
      <w:r>
        <w:rPr>
          <w:rFonts w:eastAsia="Arial" w:cs="Arial" w:ascii="Verdana" w:hAnsi="Verdana"/>
          <w:b/>
          <w:bCs/>
          <w:sz w:val="20"/>
          <w:szCs w:val="20"/>
        </w:rPr>
        <w:t>7.4.</w:t>
      </w:r>
      <w:r>
        <w:rPr>
          <w:rFonts w:eastAsia="Arial" w:cs="Arial" w:ascii="Verdana" w:hAnsi="Verdana"/>
          <w:b w:val="false"/>
          <w:bCs w:val="false"/>
          <w:sz w:val="20"/>
          <w:szCs w:val="20"/>
        </w:rPr>
        <w:t xml:space="preserve"> O prazo de vigência do Registro de preços será de 12 meses, permitindo sua prorrogação por igual período, desde que haja concordância entre as partes e cumprimentos dos pressupostos legais;</w:t>
      </w:r>
    </w:p>
    <w:p>
      <w:pPr>
        <w:pStyle w:val="Normal"/>
        <w:spacing w:lineRule="auto" w:line="240" w:before="0" w:after="0"/>
        <w:ind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7.5. </w:t>
      </w:r>
      <w:r>
        <w:rPr>
          <w:rFonts w:eastAsia="Times New Roman" w:cs="Arial" w:ascii="Verdana" w:hAnsi="Verdana"/>
          <w:b w:val="false"/>
          <w:bCs w:val="false"/>
          <w:color w:val="000000"/>
          <w:kern w:val="0"/>
          <w:sz w:val="20"/>
          <w:szCs w:val="20"/>
          <w:shd w:fill="auto" w:val="clear"/>
          <w:lang w:val="pt-BR" w:eastAsia="zh-CN" w:bidi="ar-SA"/>
        </w:rPr>
        <w:t>Será permitida a adesão da ata por órgãos ou entidades não participantes do certame licitatório, desde que devidamente justificado e cumprindo as exigências da Lei Federal 14.133/2021;</w:t>
      </w:r>
    </w:p>
    <w:p>
      <w:pPr>
        <w:pStyle w:val="Normal"/>
        <w:spacing w:lineRule="auto" w:line="240" w:before="0" w:after="0"/>
        <w:ind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7.6. </w:t>
      </w:r>
      <w:r>
        <w:rPr>
          <w:rFonts w:eastAsia="Times New Roman" w:cs="Arial" w:ascii="Verdana" w:hAnsi="Verdana"/>
          <w:b w:val="false"/>
          <w:bCs w:val="false"/>
          <w:color w:val="000000"/>
          <w:kern w:val="0"/>
          <w:sz w:val="20"/>
          <w:szCs w:val="20"/>
          <w:shd w:fill="auto" w:val="clear"/>
          <w:lang w:val="pt-BR" w:eastAsia="zh-CN" w:bidi="ar-SA"/>
        </w:rPr>
        <w:t>Para eventuais pedidos de reequilíbrio econômico-financeiro será necessária a apresentação de documentos que comprovem o desequilíbrio e suas justificativas legais;</w:t>
      </w:r>
    </w:p>
    <w:p>
      <w:pPr>
        <w:pStyle w:val="Normal"/>
        <w:spacing w:lineRule="auto" w:line="240" w:before="0" w:after="0"/>
        <w:ind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7.7.</w:t>
      </w:r>
      <w:r>
        <w:rPr>
          <w:rFonts w:eastAsia="Times New Roman" w:cs="Arial" w:ascii="Verdana" w:hAnsi="Verdana"/>
          <w:b w:val="false"/>
          <w:bCs w:val="false"/>
          <w:color w:val="000000"/>
          <w:kern w:val="0"/>
          <w:sz w:val="20"/>
          <w:szCs w:val="20"/>
          <w:shd w:fill="auto" w:val="clear"/>
          <w:lang w:val="pt-BR" w:eastAsia="zh-CN" w:bidi="ar-SA"/>
        </w:rPr>
        <w:t xml:space="preserve"> O reajuste de valores praticados no Registro de Preços poderá ser adotado após decorridos o prazo de 12 meses de sua assinatura com aplicação do índice do IPCA apurado nos últimos 12 meses;</w:t>
      </w:r>
    </w:p>
    <w:p>
      <w:pPr>
        <w:pStyle w:val="Normal"/>
        <w:ind w:right="0"/>
        <w:jc w:val="both"/>
        <w:rPr>
          <w:rFonts w:ascii="Verdana" w:hAnsi="Verdana"/>
          <w:sz w:val="20"/>
          <w:szCs w:val="20"/>
        </w:rPr>
      </w:pPr>
      <w:r>
        <w:rPr>
          <w:rFonts w:cs="Arial" w:ascii="Verdana" w:hAnsi="Verdana"/>
          <w:b/>
          <w:bCs/>
          <w:sz w:val="20"/>
          <w:szCs w:val="20"/>
          <w:shd w:fill="auto" w:val="clear"/>
        </w:rPr>
        <w:t xml:space="preserve">7.8. </w:t>
      </w:r>
      <w:r>
        <w:rPr>
          <w:rFonts w:cs="Arial" w:ascii="Verdana" w:hAnsi="Verdana"/>
          <w:b w:val="false"/>
          <w:bCs w:val="false"/>
          <w:sz w:val="20"/>
          <w:szCs w:val="20"/>
          <w:shd w:fill="auto" w:val="clear"/>
        </w:rPr>
        <w:t xml:space="preserve">Na </w:t>
      </w:r>
      <w:r>
        <w:rPr>
          <w:rFonts w:eastAsia="Times New Roman" w:cs="Arial" w:ascii="Verdana" w:hAnsi="Verdana"/>
          <w:b w:val="false"/>
          <w:bCs w:val="false"/>
          <w:color w:val="000000"/>
          <w:kern w:val="0"/>
          <w:sz w:val="20"/>
          <w:szCs w:val="20"/>
          <w:shd w:fill="auto" w:val="clear"/>
          <w:lang w:val="pt-BR" w:eastAsia="zh-CN" w:bidi="ar-SA"/>
        </w:rPr>
        <w:t>entrega do produto</w:t>
      </w:r>
      <w:r>
        <w:rPr>
          <w:rFonts w:cs="Arial" w:ascii="Verdana" w:hAnsi="Verdana"/>
          <w:b w:val="false"/>
          <w:bCs w:val="false"/>
          <w:sz w:val="20"/>
          <w:szCs w:val="20"/>
          <w:shd w:fill="auto" w:val="clear"/>
        </w:rPr>
        <w:t>, a CONTRATADA deve:</w:t>
      </w:r>
    </w:p>
    <w:p>
      <w:pPr>
        <w:pStyle w:val="Normal"/>
        <w:spacing w:lineRule="auto" w:line="240" w:before="0" w:after="0"/>
        <w:ind w:right="0"/>
        <w:jc w:val="both"/>
        <w:rPr>
          <w:rFonts w:ascii="Verdana" w:hAnsi="Verdana"/>
          <w:sz w:val="20"/>
          <w:szCs w:val="20"/>
        </w:rPr>
      </w:pPr>
      <w:r>
        <w:rPr>
          <w:rFonts w:cs="Arial" w:ascii="Verdana" w:hAnsi="Verdana"/>
          <w:b/>
          <w:bCs/>
          <w:sz w:val="20"/>
          <w:szCs w:val="20"/>
          <w:shd w:fill="auto" w:val="clear"/>
        </w:rPr>
        <w:t xml:space="preserve">a) </w:t>
      </w:r>
      <w:r>
        <w:rPr>
          <w:rFonts w:cs="Arial" w:ascii="Verdana" w:hAnsi="Verdana"/>
          <w:b w:val="false"/>
          <w:bCs w:val="false"/>
          <w:sz w:val="20"/>
          <w:szCs w:val="20"/>
          <w:shd w:fill="auto" w:val="clear"/>
        </w:rPr>
        <w:t>Fornecer o item em perfeitas condições de uso, sem nenhuma avaria que comprometa a sua qualidade</w:t>
      </w:r>
    </w:p>
    <w:p>
      <w:pPr>
        <w:pStyle w:val="Normal"/>
        <w:spacing w:lineRule="auto" w:line="240" w:before="0" w:after="0"/>
        <w:ind w:right="0"/>
        <w:jc w:val="both"/>
        <w:rPr>
          <w:rFonts w:ascii="Verdana" w:hAnsi="Verdana"/>
          <w:sz w:val="20"/>
          <w:szCs w:val="20"/>
        </w:rPr>
      </w:pPr>
      <w:r>
        <w:rPr>
          <w:rFonts w:cs="Arial" w:ascii="Verdana" w:hAnsi="Verdana"/>
          <w:b/>
          <w:bCs/>
          <w:sz w:val="20"/>
          <w:szCs w:val="20"/>
          <w:shd w:fill="auto" w:val="clear"/>
        </w:rPr>
        <w:t>b)</w:t>
      </w:r>
      <w:r>
        <w:rPr>
          <w:rFonts w:cs="Arial" w:ascii="Verdana" w:hAnsi="Verdana"/>
          <w:b w:val="false"/>
          <w:bCs w:val="false"/>
          <w:sz w:val="20"/>
          <w:szCs w:val="20"/>
          <w:shd w:fill="auto" w:val="clear"/>
        </w:rPr>
        <w:t xml:space="preserve"> </w:t>
      </w:r>
      <w:r>
        <w:rPr>
          <w:rFonts w:eastAsia="Times New Roman" w:cs="Arial" w:ascii="Verdana" w:hAnsi="Verdana"/>
          <w:b w:val="false"/>
          <w:bCs w:val="false"/>
          <w:color w:val="000000"/>
          <w:kern w:val="0"/>
          <w:sz w:val="20"/>
          <w:szCs w:val="20"/>
          <w:shd w:fill="auto" w:val="clear"/>
          <w:lang w:val="pt-BR" w:eastAsia="zh-CN" w:bidi="ar-SA"/>
        </w:rPr>
        <w:t>Fornecer os itens conforme a cotação de preços</w:t>
      </w:r>
      <w:r>
        <w:rPr>
          <w:rFonts w:cs="Arial" w:ascii="Verdana" w:hAnsi="Verdana"/>
          <w:b w:val="false"/>
          <w:bCs w:val="false"/>
          <w:sz w:val="20"/>
          <w:szCs w:val="20"/>
          <w:shd w:fill="auto" w:val="clear"/>
        </w:rPr>
        <w:t xml:space="preserve">. </w:t>
      </w:r>
    </w:p>
    <w:p>
      <w:pPr>
        <w:pStyle w:val="Normal"/>
        <w:ind w:right="0"/>
        <w:jc w:val="both"/>
        <w:rPr>
          <w:rFonts w:ascii="Verdana" w:hAnsi="Verdana"/>
          <w:sz w:val="20"/>
          <w:szCs w:val="20"/>
        </w:rPr>
      </w:pPr>
      <w:r>
        <w:rPr>
          <w:rFonts w:cs="Arial" w:ascii="Verdana" w:hAnsi="Verdana"/>
          <w:b/>
          <w:bCs/>
          <w:color w:val="000000"/>
          <w:sz w:val="20"/>
          <w:szCs w:val="20"/>
          <w:shd w:fill="auto" w:val="clear"/>
        </w:rPr>
        <w:t xml:space="preserve">c) </w:t>
      </w:r>
      <w:r>
        <w:rPr>
          <w:rFonts w:cs="Arial" w:ascii="Verdana" w:hAnsi="Verdana"/>
          <w:b w:val="false"/>
          <w:bCs w:val="false"/>
          <w:color w:val="000000"/>
          <w:sz w:val="20"/>
          <w:szCs w:val="20"/>
          <w:shd w:fill="auto" w:val="clear"/>
        </w:rPr>
        <w:t>R</w:t>
      </w:r>
      <w:r>
        <w:rPr>
          <w:rFonts w:eastAsia="Times New Roman" w:cs="Arial" w:ascii="Verdana" w:hAnsi="Verdana"/>
          <w:b w:val="false"/>
          <w:bCs w:val="false"/>
          <w:color w:val="000000"/>
          <w:kern w:val="0"/>
          <w:sz w:val="20"/>
          <w:szCs w:val="20"/>
          <w:shd w:fill="auto" w:val="clear"/>
          <w:lang w:val="pt-BR" w:eastAsia="zh-CN" w:bidi="ar-SA"/>
        </w:rPr>
        <w:t>ealizar a entrega dentro do prazo determinado, sendo de sua total responsabilidade o custo com a logística</w:t>
      </w:r>
      <w:r>
        <w:rPr>
          <w:rFonts w:cs="Arial" w:ascii="Verdana" w:hAnsi="Verdana"/>
          <w:b w:val="false"/>
          <w:bCs w:val="false"/>
          <w:color w:val="000000"/>
          <w:sz w:val="20"/>
          <w:szCs w:val="20"/>
          <w:shd w:fill="auto" w:val="clear"/>
        </w:rPr>
        <w:t xml:space="preserve">. </w:t>
      </w:r>
    </w:p>
    <w:p>
      <w:pPr>
        <w:pStyle w:val="Normal"/>
        <w:spacing w:lineRule="auto" w:line="240" w:before="0" w:after="0"/>
        <w:ind w:right="0"/>
        <w:jc w:val="both"/>
        <w:rPr>
          <w:rFonts w:ascii="Verdana" w:hAnsi="Verdana"/>
          <w:sz w:val="20"/>
          <w:szCs w:val="20"/>
        </w:rPr>
      </w:pPr>
      <w:r>
        <w:rPr>
          <w:rFonts w:cs="Arial" w:ascii="Verdana" w:hAnsi="Verdana"/>
          <w:b/>
          <w:bCs/>
          <w:sz w:val="20"/>
          <w:szCs w:val="20"/>
          <w:shd w:fill="auto" w:val="clear"/>
        </w:rPr>
        <w:t>d)</w:t>
      </w:r>
      <w:r>
        <w:rPr>
          <w:rFonts w:cs="Arial" w:ascii="Verdana" w:hAnsi="Verdana"/>
          <w:b w:val="false"/>
          <w:bCs w:val="false"/>
          <w:sz w:val="20"/>
          <w:szCs w:val="20"/>
          <w:shd w:fill="auto" w:val="clear"/>
        </w:rPr>
        <w:t xml:space="preserve"> Cotar e fornecer produtos de qualidade e que seja compatível com as </w:t>
      </w:r>
      <w:r>
        <w:rPr>
          <w:rFonts w:eastAsia="Times New Roman" w:cs="Arial" w:ascii="Verdana" w:hAnsi="Verdana"/>
          <w:b w:val="false"/>
          <w:bCs w:val="false"/>
          <w:color w:val="000000"/>
          <w:kern w:val="0"/>
          <w:sz w:val="20"/>
          <w:szCs w:val="20"/>
          <w:shd w:fill="auto" w:val="clear"/>
          <w:lang w:val="pt-BR" w:eastAsia="zh-CN" w:bidi="ar-SA"/>
        </w:rPr>
        <w:t>atualizações mais recentes de sistemas de informação e que atendas as descrições contidas na Solicitação de compras em anexo.</w:t>
      </w:r>
    </w:p>
    <w:p>
      <w:pPr>
        <w:pStyle w:val="Normal"/>
        <w:spacing w:lineRule="auto" w:line="240" w:before="0" w:after="0"/>
        <w:ind w:right="0"/>
        <w:jc w:val="both"/>
        <w:rPr>
          <w:rFonts w:ascii="Verdana" w:hAnsi="Verdana"/>
          <w:sz w:val="20"/>
          <w:szCs w:val="20"/>
        </w:rPr>
      </w:pPr>
      <w:r>
        <w:rPr>
          <w:rFonts w:cs="Arial" w:ascii="Verdana" w:hAnsi="Verdana"/>
          <w:b/>
          <w:bCs/>
          <w:sz w:val="20"/>
          <w:szCs w:val="20"/>
          <w:shd w:fill="auto" w:val="clear"/>
        </w:rPr>
        <w:t xml:space="preserve">e) </w:t>
      </w:r>
      <w:r>
        <w:rPr>
          <w:rFonts w:cs="Arial" w:ascii="Verdana" w:hAnsi="Verdana"/>
          <w:b w:val="false"/>
          <w:bCs w:val="false"/>
          <w:sz w:val="20"/>
          <w:szCs w:val="20"/>
          <w:shd w:fill="auto" w:val="clear"/>
        </w:rPr>
        <w:t xml:space="preserve">Realizar substituição dos </w:t>
      </w:r>
      <w:r>
        <w:rPr>
          <w:rFonts w:eastAsia="Times New Roman" w:cs="Arial" w:ascii="Verdana" w:hAnsi="Verdana"/>
          <w:b w:val="false"/>
          <w:bCs w:val="false"/>
          <w:color w:val="000000"/>
          <w:kern w:val="0"/>
          <w:sz w:val="20"/>
          <w:szCs w:val="20"/>
          <w:shd w:fill="auto" w:val="clear"/>
          <w:lang w:val="pt-BR" w:eastAsia="zh-CN" w:bidi="ar-SA"/>
        </w:rPr>
        <w:t>produtos danificados em até 05 dias, se for o caso.</w:t>
      </w:r>
    </w:p>
    <w:p>
      <w:pPr>
        <w:pStyle w:val="Normal"/>
        <w:spacing w:lineRule="auto" w:line="240" w:before="0" w:after="0"/>
        <w:ind w:right="0"/>
        <w:jc w:val="both"/>
        <w:rPr>
          <w:rFonts w:ascii="Verdana" w:hAnsi="Verdana"/>
          <w:sz w:val="20"/>
          <w:szCs w:val="20"/>
        </w:rPr>
      </w:pPr>
      <w:r>
        <w:rPr>
          <w:rFonts w:ascii="Verdana" w:hAnsi="Verdana"/>
          <w:b/>
          <w:bCs/>
          <w:sz w:val="20"/>
          <w:szCs w:val="20"/>
          <w:shd w:fill="auto" w:val="clear"/>
        </w:rPr>
        <w:t>7.9. Da qualificação técnica.</w:t>
      </w:r>
    </w:p>
    <w:p>
      <w:pPr>
        <w:pStyle w:val="Normal"/>
        <w:spacing w:lineRule="auto" w:line="240" w:before="0" w:after="0"/>
        <w:ind w:right="0"/>
        <w:jc w:val="both"/>
        <w:rPr>
          <w:rFonts w:ascii="Verdana" w:hAnsi="Verdana"/>
          <w:sz w:val="20"/>
          <w:szCs w:val="20"/>
        </w:rPr>
      </w:pPr>
      <w:r>
        <w:rPr>
          <w:rFonts w:ascii="Verdana" w:hAnsi="Verdana"/>
          <w:b/>
          <w:bCs/>
          <w:sz w:val="20"/>
          <w:szCs w:val="20"/>
          <w:shd w:fill="auto" w:val="clear"/>
        </w:rPr>
        <w:t>7.9.1.</w:t>
      </w:r>
      <w:r>
        <w:rPr>
          <w:rFonts w:ascii="Verdana" w:hAnsi="Verdana"/>
          <w:b w:val="false"/>
          <w:bCs w:val="false"/>
          <w:sz w:val="20"/>
          <w:szCs w:val="20"/>
          <w:shd w:fill="auto" w:val="clear"/>
        </w:rPr>
        <w:t xml:space="preserve"> Comprovação de aptidão para desempenho de atividade pertinente e compatível com o objeto desta </w:t>
      </w:r>
      <w:r>
        <w:rPr>
          <w:rFonts w:eastAsia="Times New Roman" w:cs="Times New Roman" w:ascii="Verdana" w:hAnsi="Verdana"/>
          <w:b w:val="false"/>
          <w:bCs w:val="false"/>
          <w:color w:val="000000"/>
          <w:kern w:val="0"/>
          <w:sz w:val="20"/>
          <w:szCs w:val="20"/>
          <w:shd w:fill="auto" w:val="clear"/>
          <w:lang w:val="pt-BR" w:eastAsia="zh-CN" w:bidi="ar-SA"/>
        </w:rPr>
        <w:t>aquisição</w:t>
      </w:r>
      <w:r>
        <w:rPr>
          <w:rFonts w:ascii="Verdana" w:hAnsi="Verdana"/>
          <w:b w:val="false"/>
          <w:bCs w:val="false"/>
          <w:sz w:val="20"/>
          <w:szCs w:val="20"/>
          <w:shd w:fill="auto" w:val="clear"/>
        </w:rPr>
        <w:t>.</w:t>
      </w:r>
    </w:p>
    <w:p>
      <w:pPr>
        <w:pStyle w:val="Normal"/>
        <w:spacing w:lineRule="auto" w:line="240" w:before="0" w:after="0"/>
        <w:ind w:right="0"/>
        <w:jc w:val="both"/>
        <w:rPr>
          <w:rFonts w:ascii="Verdana" w:hAnsi="Verdana"/>
          <w:sz w:val="20"/>
          <w:szCs w:val="20"/>
        </w:rPr>
      </w:pPr>
      <w:r>
        <w:rPr>
          <w:rFonts w:ascii="Verdana" w:hAnsi="Verdana"/>
          <w:b/>
          <w:bCs/>
          <w:sz w:val="20"/>
          <w:szCs w:val="20"/>
          <w:shd w:fill="auto" w:val="clear"/>
        </w:rPr>
        <w:t xml:space="preserve">7.9.2. </w:t>
      </w:r>
      <w:r>
        <w:rPr>
          <w:rFonts w:ascii="Verdana" w:hAnsi="Verdana"/>
          <w:b w:val="false"/>
          <w:bCs w:val="false"/>
          <w:sz w:val="20"/>
          <w:szCs w:val="20"/>
          <w:shd w:fill="auto" w:val="clear"/>
        </w:rPr>
        <w:t>Registro da pessoa jurídica (CONTRATADA) nos órgãos competentes e Conselho Regional da classe, se for o caso.</w:t>
      </w:r>
    </w:p>
    <w:p>
      <w:pPr>
        <w:pStyle w:val="Normal"/>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rPr>
        <w:t>8. ESTIMATIVA DAS QUANTIDADES A SEREM CONTRATADA</w:t>
      </w:r>
    </w:p>
    <w:p>
      <w:pPr>
        <w:pStyle w:val="Normal"/>
        <w:suppressAutoHyphens w:val="false"/>
        <w:spacing w:lineRule="auto" w:line="240" w:before="0" w:after="0"/>
        <w:ind w:right="0"/>
        <w:jc w:val="both"/>
        <w:rPr>
          <w:rFonts w:ascii="Verdana" w:hAnsi="Verdana"/>
          <w:sz w:val="20"/>
          <w:szCs w:val="20"/>
        </w:rPr>
      </w:pPr>
      <w:r>
        <w:rPr>
          <w:rFonts w:cs="Arial" w:ascii="Verdana" w:hAnsi="Verdana"/>
          <w:sz w:val="20"/>
          <w:szCs w:val="20"/>
          <w:shd w:fill="auto" w:val="clear"/>
        </w:rPr>
        <w:t xml:space="preserve">A relação dos itens necessários para contemplar a solução da demanda, bem como a estimativa da quantidade a ser contratada é apresentada na tabela a seguir e está </w:t>
      </w:r>
      <w:r>
        <w:rPr>
          <w:rFonts w:eastAsia="Times New Roman" w:cs="Arial" w:ascii="Verdana" w:hAnsi="Verdana"/>
          <w:color w:val="000000"/>
          <w:kern w:val="0"/>
          <w:sz w:val="20"/>
          <w:szCs w:val="20"/>
          <w:shd w:fill="auto" w:val="clear"/>
          <w:lang w:val="pt-BR" w:eastAsia="zh-CN" w:bidi="ar-SA"/>
        </w:rPr>
        <w:t xml:space="preserve">baseada nas necessidades apresentadas pelas Secretarias envolvidas </w:t>
      </w:r>
    </w:p>
    <w:p>
      <w:pPr>
        <w:pStyle w:val="Normal"/>
        <w:suppressAutoHyphens w:val="false"/>
        <w:spacing w:lineRule="auto" w:line="240" w:before="0" w:after="0"/>
        <w:ind w:right="0"/>
        <w:jc w:val="both"/>
        <w:rPr>
          <w:rFonts w:ascii="Verdana" w:hAnsi="Verdana"/>
          <w:sz w:val="20"/>
          <w:szCs w:val="20"/>
        </w:rPr>
      </w:pPr>
      <w:r>
        <w:rPr>
          <w:rFonts w:cs="Arial" w:ascii="Verdana" w:hAnsi="Verdana"/>
          <w:b/>
          <w:bCs/>
          <w:sz w:val="20"/>
          <w:szCs w:val="20"/>
          <w:shd w:fill="auto" w:val="clear"/>
        </w:rPr>
        <w:t>8.1. QUANTITATIVO SECRETARIA DE ASSISTÊNCIA SOCIAL</w:t>
      </w:r>
    </w:p>
    <w:tbl>
      <w:tblPr>
        <w:tblW w:w="9667" w:type="dxa"/>
        <w:jc w:val="left"/>
        <w:tblInd w:w="81" w:type="dxa"/>
        <w:tblLayout w:type="fixed"/>
        <w:tblCellMar>
          <w:top w:w="55" w:type="dxa"/>
          <w:left w:w="55" w:type="dxa"/>
          <w:bottom w:w="55" w:type="dxa"/>
          <w:right w:w="55" w:type="dxa"/>
        </w:tblCellMar>
      </w:tblPr>
      <w:tblGrid>
        <w:gridCol w:w="1039"/>
        <w:gridCol w:w="5666"/>
        <w:gridCol w:w="1691"/>
        <w:gridCol w:w="1270"/>
      </w:tblGrid>
      <w:tr>
        <w:trPr/>
        <w:tc>
          <w:tcPr>
            <w:tcW w:w="1039"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Item</w:t>
            </w:r>
          </w:p>
        </w:tc>
        <w:tc>
          <w:tcPr>
            <w:tcW w:w="5666" w:type="dxa"/>
            <w:tcBorders>
              <w:top w:val="single" w:sz="2" w:space="0" w:color="000000"/>
              <w:left w:val="single" w:sz="2" w:space="0" w:color="000000"/>
              <w:bottom w:val="single" w:sz="2" w:space="0" w:color="000000"/>
            </w:tcBorders>
            <w:vAlign w:val="center"/>
          </w:tcPr>
          <w:p>
            <w:pPr>
              <w:pStyle w:val="Contedodatabela"/>
              <w:widowControl w:val="false"/>
              <w:ind w:right="0"/>
              <w:jc w:val="left"/>
              <w:rPr>
                <w:rFonts w:ascii="Verdana" w:hAnsi="Verdana"/>
                <w:sz w:val="20"/>
                <w:szCs w:val="20"/>
              </w:rPr>
            </w:pPr>
            <w:r>
              <w:rPr>
                <w:rFonts w:ascii="Verdana" w:hAnsi="Verdana"/>
                <w:b/>
                <w:bCs/>
                <w:sz w:val="20"/>
                <w:szCs w:val="20"/>
              </w:rPr>
              <w:t>Descrição</w:t>
            </w:r>
          </w:p>
        </w:tc>
        <w:tc>
          <w:tcPr>
            <w:tcW w:w="1691"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Und</w:t>
            </w:r>
          </w:p>
        </w:tc>
        <w:tc>
          <w:tcPr>
            <w:tcW w:w="1270"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Qtde</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01</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COMPUTADOR DESKTOP COM AS SEGUINTES CONFIGURAÇÕES: processamento: intel® core™ i5- 14500t (14ª geração). memória: 8gb ddr5 4800 mhz (possui 2 slots, expansível até 64gb ddr5 5600 mhz). armazenamento: 256gb ssd m.2 nvme. gráficos e vídeo: intel uhd graphics; saídas 1x displayport + 1x hdmi 2.1. conectividade: intel wi-fi 6e ax211 (802.11ax 2x2), bluetooth 5.3 e chipset intel q670. interfaces: 5x usb 3.2, 2x usb 3.2 type-c (frontal/traseira), 1x usb 2.0. gabinete: volume de 1l; acompanha suporte vesa mount + clamp (4xf107369). energia: bivolt automática; cabo nbr 14136. sistema operacional: windows 11 professional em português. periféricos: teclado abnt2 e mouse 2000dpi (c/ mousepad). monitor: t24- 40 ips 23.8" fhd (1920x1080). garantia: 60 meses on-site (atendimento no local). marcas de referência: lenovo, dell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50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02</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NOTEBOOK COM AS SEGUINTES CONFIGURAÇÕES: processador intel core ultra 7 165h frequência turbo máxima de até 5,0 ghz para núcleos de alto desempenho 24 mb de cache l3, 16 núcleos e 22 threads. compatível com intel sipp/vpro enterprise; memória padrão (2) slots sodimm o sistema opera a 5600 mt/s suporta memória de canal duplo configurações 64 gb (2 x 32 gb) de ram ddr5-5600 mt/s gráficos suportados: compatível com hdmi 2.1 opções de painel de exibição sem tela sensível ao toque: tela diagonal de 35,6 cm (14,0 pol.) , wuxga, curva, lcd, uwva, antirreflexo, wled e baixa emissão de luz azul, 1000 nits, 100% srgb com tela de privacidade integrada hp sure view reflect (1920 x 1200) armazenamento/unidades: opções primárias de unidade de estado sólido (ssd) ssd opal2 tlc de 512 gb, pcie gen 4.0 nvme e com criptografia automática. redes de contatos/comunicação: rede local sem fio (wlan) placa de rede sem fio intel wi-fi 6e ax211 (2x2) e bluetooth 5.3, vpro ethernet (rj-45) intel i219-lm gbe, vpro comunicação por campo de proximidade (nfc) nfc mirage wnc xrav-1 portas/slots: (2) portas thunderbolt 4 usb4 type-c de 40 gbps; (usb power delivery e displayport 1.4) (2) portas usb 3.2 gen 1.0 tipo a; taxa de sinalização de 5 gbps (porta de carregamento no lado esquerdo) (1) porta ethernet rj-45 (1) conector combinado para fone de ouvido/microfone (1) hdmi v2.1 áudio/multimídia: áudio por poly studio (2) alto-falantes estéreo integrados (2) microfones de matriz dupla integrados 2 watts/4 ohms (por alto-falante) software/segurança: atualização da bios via rede hp biosphere hp drivelock e drivelock automático sensor de impressão digital hp hp secure erase hp wake on wlan módulo de plataforma confiável (tpm) de segurança infineon slb9672vu2.0 fw15.23 nuvoton npct760habyx adaptador de energia hp standard usb type-c de 65 w bateria principal long life de 3 células, 56 wh, polímero de íon de lítio cabo de alimentação plugue de 3 pinos com 1,0 m (3,28 pés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30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03</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SCANNER PARA DIGITALIZAÇÃO DE DOCUMENTOS COM AS SEGUINTES CARACTERÍSTICAS: resolução mínima: óptica 600 dpi, interpolada 600 dpi; compatível com windows/mac/linux; digitaliza documentos, fotos e cartões; usb 2.0; dimensões mínimas: 280 (l) x 606 (p) x 366,4 (a) mm; peso: 3,2 kg; adf: 50 folhas; ciclo diário: 3.000 páginas; tamanho máx.: 21,6x35,5 cm; voltagem: 100-240v; duplex: sim; velocidade: 35 ppm simplex, 70 ipm duplex; formatos: jpeg, pdf, tiff; modos: cor 24 bits, escala cinza, monocromático; software: ocr incluso.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04</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IMPRESSORA MULTIFUNCIONAL COM TECNOLOGIA ECOTANK jato de tinta micropiezo 4 cores (cmyk); resolução: 5760x1440 dpi; velocidade iso: preto 10,5 m, cor 5 ppm; velocidade: preto 33 ppm, cor 15 ppm; duplex: preto 6 ppm, cor 4 ppm; tinta: preto 7.500 páginas, cores 6.000 páginas; compatibilidade: windows vista a 10, mac os x 10.6.8 a 10.12; dimensões: 37,5x34,7x18,7 cm; peso: 5,5 kg; cópia: 7,7 cpm preto, 3,8 cpm cor, 1-99 cópias; scanner: base plana cis, 1200 dpi, área 21,6x29,7 cm; conectividade: usb, wireless, wi-fi direct; papel: até 100 folhas; bandeja saída: 30 folhas; lcd 1,44"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05</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TABLET processador: tipo de processador: octa core; velocidade do processador: velocidade máxima atinja 2.4 ghz em pelo menos um dos núcleos de alto desempenho; cpu: qualcomm® snapdragon® 680 (similar ou superior); arquitetura da cpu: qualcomm® kryotm 265 (similar ou superior). tela: tamanho: mínima de 10,9 polegadas; tecnologia: ips; taxa de atualização de tela: 60hz ou superior; câmera: resolução da câmera frontal: 5mp; resolução da câmera traseira: 8mp. memória: memória ram (gb): mínimo 8gb; memória total interna (gb): mínimo 128gb; memória expansível (microsd): sim. conectividade: conector de entrada: usb-c; conector de fone de ouvido: conector de fone de ouvido: p2 ou usb tipo c; rede móvel: não; versão de bluetooth: bluetooth 5.0; protocolos wi fi: ieee 802.11a/b/g/n/ac; suporte wi-fi: wi-fi 2.4ghz | wi-fi 5ghz; wi-fi direct: sim; wi-fi display: não; nfc: não; suporte a otg: sim. sensores: acelerômetro: sim; proximidade: não; giroscópio: não; bússola: não; luz ambiente: sim; motor de vibração: não; sensor de impressão digital: não; sensor magnético: sim. carregamento e bateria: potência máxima de carregamento: 18w; carregamento sem fio: não; capacidade da bateria (mah): 7000mah ou superior. áudio e vídeo: som estéreo: mínimo de dois alto-falantes de alta qualidade. outros recursos de áudio: áudio de alta resolução. conteúdo da embalagem: tablet: 1x tablet; carregador de tomada: 1x carregador usb a de 10w; capa protetora: sim; cabo usb: 1x cabo usb-c. referência: tablet redmi pad se, lenovo tab plus - zadx0169br, samsung galaxy tab s10 fe - sm-x510nzadzto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15</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06</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HD EXTERNO 1TB usb 3.0; 4,8gb/s; 1tb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15</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07</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IMPRESSORA A LASER (COMUM) :. compatibilidade: usb 2.0; wi-fi: não; ethernet: não; funções: impressão (sim), cópia (não), scanner (não), fax (não); frente e verso: não (manual); tecnologia: laser; resolução mínima: 1200x600dpi; velocidade: 22 ppm; ciclo mensal: até 10.000 páginas; bandeja entrada: 150 folhas; bandeja saída: 100 folhas; suprimento: cartucho; dimensões mínimas: 350x230x200 mm; alimentação: 127v; garantia: 12 meses.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08</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SSD (SOLID STATE DRIVE) M.2 2280 NVME PCIE 256 GB </w:t>
            </w:r>
          </w:p>
        </w:tc>
        <w:tc>
          <w:tcPr>
            <w:tcW w:w="1691"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0"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r>
    </w:tbl>
    <w:p>
      <w:pPr>
        <w:pStyle w:val="Normal"/>
        <w:spacing w:lineRule="auto" w:line="240" w:before="0" w:after="0"/>
        <w:ind w:right="0"/>
        <w:jc w:val="both"/>
        <w:rPr>
          <w:rFonts w:ascii="Verdana" w:hAnsi="Verdana" w:eastAsia="Arial" w:cs="Arial"/>
          <w:b/>
          <w:sz w:val="20"/>
          <w:szCs w:val="20"/>
        </w:rPr>
      </w:pPr>
      <w:r>
        <w:rPr>
          <w:rFonts w:eastAsia="Arial" w:cs="Arial" w:ascii="Verdana" w:hAnsi="Verdana"/>
          <w:b/>
          <w:sz w:val="20"/>
          <w:szCs w:val="20"/>
        </w:rPr>
      </w:r>
    </w:p>
    <w:p>
      <w:pPr>
        <w:pStyle w:val="Normal"/>
        <w:spacing w:lineRule="auto" w:line="240" w:before="0" w:after="0"/>
        <w:ind w:right="0"/>
        <w:jc w:val="both"/>
        <w:rPr>
          <w:rFonts w:ascii="Verdana" w:hAnsi="Verdana" w:eastAsia="Arial" w:cs="Arial"/>
          <w:b/>
          <w:sz w:val="20"/>
          <w:szCs w:val="20"/>
        </w:rPr>
      </w:pPr>
      <w:r>
        <w:rPr>
          <w:rFonts w:eastAsia="Arial" w:cs="Arial" w:ascii="Verdana" w:hAnsi="Verdana"/>
          <w:b/>
          <w:sz w:val="20"/>
          <w:szCs w:val="20"/>
        </w:rPr>
      </w:r>
    </w:p>
    <w:p>
      <w:pPr>
        <w:pStyle w:val="Normal"/>
        <w:spacing w:lineRule="auto" w:line="240" w:before="0" w:after="0"/>
        <w:ind w:right="0"/>
        <w:jc w:val="both"/>
        <w:rPr>
          <w:rFonts w:ascii="Verdana" w:hAnsi="Verdana"/>
          <w:sz w:val="20"/>
          <w:szCs w:val="20"/>
        </w:rPr>
      </w:pPr>
      <w:r>
        <w:rPr>
          <w:rFonts w:eastAsia="Arial" w:cs="Arial" w:ascii="Verdana" w:hAnsi="Verdana"/>
          <w:b/>
          <w:sz w:val="20"/>
          <w:szCs w:val="20"/>
        </w:rPr>
        <w:t>8.2. QUANTITATIVO PREFEITURA E DEMAIS SECRETARIAS</w:t>
      </w:r>
    </w:p>
    <w:p>
      <w:pPr>
        <w:pStyle w:val="Normal"/>
        <w:spacing w:lineRule="auto" w:line="240" w:before="0" w:after="0"/>
        <w:ind w:right="0"/>
        <w:jc w:val="both"/>
        <w:rPr>
          <w:rFonts w:ascii="Verdana" w:hAnsi="Verdana" w:eastAsia="Arial" w:cs="Arial"/>
          <w:b/>
          <w:sz w:val="20"/>
          <w:szCs w:val="20"/>
        </w:rPr>
      </w:pPr>
      <w:r>
        <w:rPr>
          <w:rFonts w:eastAsia="Arial" w:cs="Arial" w:ascii="Verdana" w:hAnsi="Verdana"/>
          <w:b/>
          <w:sz w:val="20"/>
          <w:szCs w:val="20"/>
        </w:rPr>
      </w:r>
    </w:p>
    <w:tbl>
      <w:tblPr>
        <w:tblW w:w="9667" w:type="dxa"/>
        <w:jc w:val="left"/>
        <w:tblInd w:w="81" w:type="dxa"/>
        <w:tblLayout w:type="fixed"/>
        <w:tblCellMar>
          <w:top w:w="55" w:type="dxa"/>
          <w:left w:w="55" w:type="dxa"/>
          <w:bottom w:w="55" w:type="dxa"/>
          <w:right w:w="55" w:type="dxa"/>
        </w:tblCellMar>
      </w:tblPr>
      <w:tblGrid>
        <w:gridCol w:w="1039"/>
        <w:gridCol w:w="5666"/>
        <w:gridCol w:w="1690"/>
        <w:gridCol w:w="1271"/>
      </w:tblGrid>
      <w:tr>
        <w:trPr>
          <w:trHeight w:val="284" w:hRule="atLeast"/>
        </w:trPr>
        <w:tc>
          <w:tcPr>
            <w:tcW w:w="1039"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01</w:t>
            </w:r>
          </w:p>
        </w:tc>
        <w:tc>
          <w:tcPr>
            <w:tcW w:w="5666" w:type="dxa"/>
            <w:tcBorders>
              <w:top w:val="single" w:sz="2" w:space="0" w:color="000000"/>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COMPUTADOR DESKTOP COM AS SEGUINTES CONFIGURAÇÕES: processamento: intel® core™ i5- 14500t (14ª geração). memória: 8gb ddr5 4800 mhz (possui 2 slots, expansível até 64gb ddr5 5600 mhz). armazenamento: 256gb ssd m.2 nvme. gráficos e vídeo: intel uhd graphics; saídas 1x displayport + 1x hdmi 2.1. conectividade: intel wi-fi 6e ax211 (802.11ax 2x2), bluetooth 5.3 e chipset intel q670. interfaces: 5x usb 3.2, 2x usb 3.2 type-c (frontal/traseira), 1x usb 2.0. gabinete: volume de 1l; acompanha suporte vesa mount + clamp (4xf107369). energia: bivolt automática; cabo nbr 14136. sistema operacional: windows 11 professional em português. periféricos: teclado abnt2 e mouse 2000dpi (c/ mousepad). monitor: t24- 40 ips 23.8" fhd (1920x1080). garantia: 60 meses on-site (atendimento no local). marcas de referência: lenovo, dell </w:t>
            </w:r>
          </w:p>
        </w:tc>
        <w:tc>
          <w:tcPr>
            <w:tcW w:w="1690"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400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02</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NOTEBOOK COM AS SEGUINTES CONFIGURAÇÕES: processador intel core ultra 7 165h frequência turbo máxima de até 5,0 ghz para núcleos de alto desempenho 24 mb de cache l3, 16 núcleos e 22 threads. compatível com intel sipp/vpro enterprise; memória padrão (2) slots sodimm o sistema opera a 5600 mt/s suporta memória de canal duplo configurações 64 gb (2 x 32 gb) de ram ddr5-5600 mt/s gráficos suportados: compatível com hdmi 2.1 opções de painel de exibição sem tela sensível ao toque: tela diagonal de 35,6 cm (14,0 pol.) , wuxga, curva, lcd, uwva, antirreflexo, wled e baixa emissão de luz azul, 1000 nits, 100% srgb com tela de privacidade integrada hp sure view reflect (1920 x 1200) armazenamento/unidades: opções primárias de unidade de estado sólido (ssd) ssd opal2 tlc de 512 gb, pcie gen 4.0 nvme e com criptografia automática. redes de contatos/comunicação: rede local sem fio (wlan) placa de rede sem fio intel wi-fi 6e ax211 (2x2) e bluetooth 5.3, vpro ethernet (rj-45) intel i219-lm gbe, vpro comunicação por campo de proximidade (nfc) nfc mirage wnc xrav-1 portas/slots: (2) portas thunderbolt 4 usb4 type-c de 40 gbps; (usb power delivery e displayport 1.4) (2) portas usb 3.2 gen 1.0 tipo a; taxa de sinalização de 5 gbps (porta de carregamento no lado esquerdo) (1) porta ethernet rj-45 (1) conector combinado para fone de ouvido/microfone (1) hdmi v2.1 áudio/multimídia: áudio por poly studio (2) alto-falantes estéreo integrados (2) microfones de matriz dupla integrados 2 watts/4 ohms (por alto-falante) software/segurança: atualização da bios via rede hp biosphere hp drivelock e drivelock automático sensor de impressão digital hp hp secure erase hp wake on wlan módulo de plataforma confiável (tpm) de segurança infineon slb9672vu2.0 fw15.23 nuvoton npct760habyx adaptador de energia hp standard usb type-c de 65 w bateria principal long life de 3 células, 56 wh, polímero de íon de lítio cabo de alimentação plugue de 3 pinos com 1,0 m (3,28 pés </w:t>
            </w:r>
          </w:p>
        </w:tc>
        <w:tc>
          <w:tcPr>
            <w:tcW w:w="1690"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1"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60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03</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SCANNER PARA DIGITALIZAÇÃO DE DOCUMENTOS COM AS SEGUINTES CARACTERÍSTICAS: resolução mínima: óptica 600 dpi, interpolada 600 dpi; compatível com windows/mac/linux; digitaliza documentos, fotos e cartões; usb 2.0; dimensões mínimas: 280 (l) x 606 (p) x 366,4 (a) mm; peso: 3,2 kg; adf: 50 folhas; ciclo diário: 3.000 páginas; tamanho máx.: 21,6x35,5 cm; voltagem: 100-240v; duplex: sim; velocidade: 35 ppm simplex, 70 ipm duplex; formatos: jpeg, pdf, tiff; modos: cor 24 bits, escala cinza, monocromático; software: ocr incluso. </w:t>
            </w:r>
          </w:p>
        </w:tc>
        <w:tc>
          <w:tcPr>
            <w:tcW w:w="1690"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1"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20</w:t>
            </w:r>
          </w:p>
        </w:tc>
      </w:tr>
      <w:tr>
        <w:trPr>
          <w:trHeight w:val="284" w:hRule="atLeast"/>
        </w:trPr>
        <w:tc>
          <w:tcPr>
            <w:tcW w:w="103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04</w:t>
            </w:r>
          </w:p>
        </w:tc>
        <w:tc>
          <w:tcPr>
            <w:tcW w:w="566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IMPRESSORA MULTIFUNCIONAL COM TECNOLOGIA ECOTANK jato de tinta micropiezo 4 cores (cmyk); resolução: 5760x1440 dpi; velocidade iso: preto 10,5 m, cor 5 ppm; velocidade: preto 33 ppm, cor 15 ppm; duplex: preto 6 ppm, cor 4 ppm; tinta: preto 7.500 páginas, cores 6.000 páginas; compatibilidade: windows vista a 10, mac os x 10.6.8 a 10.12; dimensões: 37,5x34,7x18,7 cm; peso: 5,5 kg; cópia: 7,7 cpm preto, 3,8 cpm cor, 1-99 cópias; scanner: base plana cis, 1200 dpi, área 21,6x29,7 cm; conectividade: usb, wireless, wi-fi direct; papel: até 100 folhas; bandeja saída: 30 folhas; lcd 1,44" </w:t>
            </w:r>
          </w:p>
        </w:tc>
        <w:tc>
          <w:tcPr>
            <w:tcW w:w="1690"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1271"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30</w:t>
            </w:r>
          </w:p>
        </w:tc>
      </w:tr>
    </w:tbl>
    <w:p>
      <w:pPr>
        <w:pStyle w:val="Normal"/>
        <w:spacing w:lineRule="auto" w:line="240" w:before="0" w:after="0"/>
        <w:ind w:right="0"/>
        <w:jc w:val="both"/>
        <w:rPr>
          <w:rFonts w:ascii="Verdana" w:hAnsi="Verdana" w:eastAsia="Arial" w:cs="Arial"/>
          <w:b/>
          <w:sz w:val="20"/>
          <w:szCs w:val="20"/>
        </w:rPr>
      </w:pPr>
      <w:r>
        <w:rPr>
          <w:rFonts w:eastAsia="Arial" w:cs="Arial" w:ascii="Verdana" w:hAnsi="Verdana"/>
          <w:b/>
          <w:sz w:val="20"/>
          <w:szCs w:val="20"/>
        </w:rPr>
      </w:r>
    </w:p>
    <w:p>
      <w:pPr>
        <w:pStyle w:val="Normal"/>
        <w:spacing w:lineRule="auto" w:line="240" w:before="0" w:after="0"/>
        <w:ind w:right="0"/>
        <w:jc w:val="both"/>
        <w:rPr>
          <w:rFonts w:ascii="Verdana" w:hAnsi="Verdana"/>
          <w:sz w:val="20"/>
          <w:szCs w:val="20"/>
        </w:rPr>
      </w:pPr>
      <w:r>
        <w:rPr>
          <w:rFonts w:eastAsia="Arial" w:cs="Arial" w:ascii="Verdana" w:hAnsi="Verdana"/>
          <w:b/>
          <w:sz w:val="20"/>
          <w:szCs w:val="20"/>
        </w:rPr>
        <w:t>9. LEVANTAMENTO DE MERCADO</w:t>
      </w:r>
    </w:p>
    <w:p>
      <w:pPr>
        <w:pStyle w:val="Normal"/>
        <w:spacing w:lineRule="auto" w:line="240" w:before="0" w:after="0"/>
        <w:ind w:right="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ind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no Mercado Local e/ou Portal Nacional de Compras Públicas (PNCP) e/ou Contratos/Atas Vigentes do Município, para mapear as soluções disponíveis.</w:t>
      </w:r>
    </w:p>
    <w:p>
      <w:pPr>
        <w:pStyle w:val="Normal"/>
        <w:spacing w:lineRule="auto" w:line="240" w:before="0" w:after="0"/>
        <w:ind w:right="0"/>
        <w:jc w:val="both"/>
        <w:rPr>
          <w:rFonts w:ascii="Verdana" w:hAnsi="Verdana"/>
          <w:sz w:val="20"/>
          <w:szCs w:val="20"/>
        </w:rPr>
      </w:pPr>
      <w:r>
        <w:rPr>
          <w:rFonts w:ascii="Verdana" w:hAnsi="Verdana"/>
          <w:b/>
          <w:bCs/>
          <w:sz w:val="20"/>
          <w:szCs w:val="20"/>
          <w:shd w:fill="auto" w:val="clear"/>
        </w:rPr>
        <w:t xml:space="preserve">9.3. </w:t>
      </w:r>
      <w:r>
        <w:rPr>
          <w:rFonts w:ascii="Verdana" w:hAnsi="Verdana"/>
          <w:sz w:val="20"/>
          <w:szCs w:val="20"/>
          <w:shd w:fill="auto" w:val="clear"/>
        </w:rPr>
        <w:t xml:space="preserve">Foram consultadas empresas do ramo </w:t>
      </w:r>
      <w:r>
        <w:rPr>
          <w:rFonts w:eastAsia="Times New Roman" w:cs="Times New Roman" w:ascii="Verdana" w:hAnsi="Verdana"/>
          <w:color w:val="000000"/>
          <w:kern w:val="0"/>
          <w:sz w:val="20"/>
          <w:szCs w:val="20"/>
          <w:shd w:fill="auto" w:val="clear"/>
          <w:lang w:val="pt-BR" w:eastAsia="zh-CN" w:bidi="ar-SA"/>
        </w:rPr>
        <w:t>fornecimento de equipamentos de informática</w:t>
      </w:r>
      <w:r>
        <w:rPr>
          <w:rFonts w:ascii="Verdana" w:hAnsi="Verdana"/>
          <w:sz w:val="20"/>
          <w:szCs w:val="20"/>
          <w:shd w:fill="auto" w:val="clear"/>
        </w:rPr>
        <w:t>. Além disso foram pesquisados contratos semelhantes em outros órgãos da Administração Pública.</w:t>
      </w:r>
    </w:p>
    <w:p>
      <w:pPr>
        <w:pStyle w:val="Normal"/>
        <w:suppressAutoHyphens w:val="false"/>
        <w:spacing w:lineRule="auto" w:line="240" w:before="0" w:after="0"/>
        <w:ind w:right="0"/>
        <w:jc w:val="both"/>
        <w:rPr>
          <w:rFonts w:ascii="Verdana" w:hAnsi="Verdana"/>
          <w:sz w:val="20"/>
          <w:szCs w:val="20"/>
        </w:rPr>
      </w:pPr>
      <w:r>
        <w:rPr>
          <w:rFonts w:eastAsia="Times New Roman" w:cs="Arial" w:ascii="Verdana" w:hAnsi="Verdana"/>
          <w:b/>
          <w:bCs w:val="false"/>
          <w:color w:val="000000"/>
          <w:kern w:val="0"/>
          <w:sz w:val="20"/>
          <w:szCs w:val="20"/>
          <w:shd w:fill="auto" w:val="clear"/>
          <w:lang w:val="pt-BR" w:eastAsia="zh-CN" w:bidi="ar-SA"/>
        </w:rPr>
        <w:t xml:space="preserve">9.4 </w:t>
      </w:r>
      <w:r>
        <w:rPr>
          <w:rFonts w:eastAsia="Times New Roman" w:cs="Arial" w:ascii="Verdana" w:hAnsi="Verdana"/>
          <w:b w:val="false"/>
          <w:bCs w:val="false"/>
          <w:color w:val="000000"/>
          <w:kern w:val="0"/>
          <w:sz w:val="20"/>
          <w:szCs w:val="20"/>
          <w:shd w:fill="auto" w:val="clear"/>
          <w:lang w:val="pt-BR" w:eastAsia="zh-CN" w:bidi="ar-SA"/>
        </w:rPr>
        <w:t>O valor estimado da contratação em tela é de</w:t>
      </w:r>
      <w:r>
        <w:rPr>
          <w:rFonts w:eastAsia="Times New Roman" w:cs="Arial" w:ascii="Verdana" w:hAnsi="Verdana"/>
          <w:b/>
          <w:bCs/>
          <w:color w:val="000000"/>
          <w:kern w:val="0"/>
          <w:sz w:val="20"/>
          <w:szCs w:val="20"/>
          <w:shd w:fill="auto" w:val="clear"/>
          <w:lang w:val="pt-BR" w:eastAsia="zh-CN" w:bidi="ar-SA"/>
        </w:rPr>
        <w:t xml:space="preserve"> </w:t>
      </w:r>
      <w:r>
        <w:rPr>
          <w:rFonts w:eastAsia="Times New Roman" w:cs="Times New Roman" w:ascii="Verdana" w:hAnsi="Verdana"/>
          <w:b/>
          <w:bCs/>
          <w:color w:val="000000"/>
          <w:kern w:val="0"/>
          <w:sz w:val="20"/>
          <w:szCs w:val="20"/>
          <w:shd w:fill="auto" w:val="clear"/>
          <w:lang w:val="pt-BR" w:eastAsia="zh-CN" w:bidi="ar-SA"/>
        </w:rPr>
        <w:t>R$ 4.160.750,00</w:t>
      </w:r>
      <w:r>
        <w:rPr>
          <w:rFonts w:eastAsia="Arial" w:cs="Arial" w:ascii="Verdana" w:hAnsi="Verdana"/>
          <w:b/>
          <w:bCs w:val="false"/>
          <w:color w:val="000000"/>
          <w:kern w:val="0"/>
          <w:sz w:val="20"/>
          <w:szCs w:val="20"/>
          <w:shd w:fill="auto" w:val="clear"/>
          <w:lang w:val="pt-BR" w:eastAsia="zh-CN" w:bidi="ar-SA"/>
        </w:rPr>
        <w:t xml:space="preserve"> </w:t>
      </w:r>
      <w:r>
        <w:rPr>
          <w:rFonts w:eastAsia="Times New Roman" w:cs="Arial" w:ascii="Verdana" w:hAnsi="Verdana"/>
          <w:b w:val="false"/>
          <w:bCs w:val="false"/>
          <w:color w:val="000000"/>
          <w:kern w:val="0"/>
          <w:sz w:val="20"/>
          <w:szCs w:val="20"/>
          <w:shd w:fill="auto" w:val="clear"/>
          <w:lang w:val="pt-BR" w:eastAsia="zh-CN" w:bidi="ar-SA"/>
        </w:rPr>
        <w:t>constante da planilha na planilha que se segue.</w:t>
      </w:r>
    </w:p>
    <w:p>
      <w:pPr>
        <w:pStyle w:val="Normal"/>
        <w:suppressAutoHyphens w:val="false"/>
        <w:spacing w:lineRule="auto" w:line="240" w:before="0" w:after="0"/>
        <w:ind w:right="0"/>
        <w:jc w:val="both"/>
        <w:rPr>
          <w:rFonts w:ascii="Verdana" w:hAnsi="Verdana"/>
          <w:sz w:val="20"/>
          <w:szCs w:val="20"/>
          <w:highlight w:val="none"/>
          <w:shd w:fill="auto" w:val="clear"/>
        </w:rPr>
      </w:pPr>
      <w:r>
        <w:rPr>
          <w:rFonts w:ascii="Verdana" w:hAnsi="Verdana"/>
          <w:sz w:val="20"/>
          <w:szCs w:val="20"/>
          <w:shd w:fill="auto" w:val="clear"/>
        </w:rPr>
      </w:r>
    </w:p>
    <w:tbl>
      <w:tblPr>
        <w:tblW w:w="9667" w:type="dxa"/>
        <w:jc w:val="left"/>
        <w:tblInd w:w="81" w:type="dxa"/>
        <w:tblLayout w:type="fixed"/>
        <w:tblCellMar>
          <w:top w:w="55" w:type="dxa"/>
          <w:left w:w="55" w:type="dxa"/>
          <w:bottom w:w="55" w:type="dxa"/>
          <w:right w:w="55" w:type="dxa"/>
        </w:tblCellMar>
      </w:tblPr>
      <w:tblGrid>
        <w:gridCol w:w="669"/>
        <w:gridCol w:w="4156"/>
        <w:gridCol w:w="775"/>
        <w:gridCol w:w="688"/>
        <w:gridCol w:w="1362"/>
        <w:gridCol w:w="2016"/>
      </w:tblGrid>
      <w:tr>
        <w:trPr/>
        <w:tc>
          <w:tcPr>
            <w:tcW w:w="669"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Item</w:t>
            </w:r>
          </w:p>
        </w:tc>
        <w:tc>
          <w:tcPr>
            <w:tcW w:w="4156" w:type="dxa"/>
            <w:tcBorders>
              <w:top w:val="single" w:sz="2" w:space="0" w:color="000000"/>
              <w:left w:val="single" w:sz="2" w:space="0" w:color="000000"/>
              <w:bottom w:val="single" w:sz="2" w:space="0" w:color="000000"/>
            </w:tcBorders>
            <w:vAlign w:val="center"/>
          </w:tcPr>
          <w:p>
            <w:pPr>
              <w:pStyle w:val="Contedodatabela"/>
              <w:widowControl w:val="false"/>
              <w:ind w:right="0"/>
              <w:jc w:val="left"/>
              <w:rPr>
                <w:rFonts w:ascii="Verdana" w:hAnsi="Verdana"/>
                <w:sz w:val="20"/>
                <w:szCs w:val="20"/>
              </w:rPr>
            </w:pPr>
            <w:r>
              <w:rPr>
                <w:rFonts w:ascii="Verdana" w:hAnsi="Verdana"/>
                <w:b/>
                <w:bCs/>
                <w:sz w:val="20"/>
                <w:szCs w:val="20"/>
              </w:rPr>
              <w:t>Descrição</w:t>
            </w:r>
          </w:p>
        </w:tc>
        <w:tc>
          <w:tcPr>
            <w:tcW w:w="775"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Und</w:t>
            </w:r>
          </w:p>
        </w:tc>
        <w:tc>
          <w:tcPr>
            <w:tcW w:w="688"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Qtde</w:t>
            </w:r>
          </w:p>
        </w:tc>
        <w:tc>
          <w:tcPr>
            <w:tcW w:w="1362" w:type="dxa"/>
            <w:tcBorders>
              <w:top w:val="single" w:sz="2" w:space="0" w:color="000000"/>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Vlr . Unid</w:t>
            </w:r>
          </w:p>
        </w:tc>
        <w:tc>
          <w:tcPr>
            <w:tcW w:w="2016"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Vlr. Total</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01</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COMPUTADOR DESKTOP COM AS SEGUINTES CONFIGURAÇÕES: processamento: intel® core™ i5- 14500t (14ª geração). memória: 8gb ddr5 4800 mhz (possui 2 slots, expansível até 64gb ddr5 5600 mhz). armazenamento: 256gb ssd m.2 nvme. gráficos e vídeo: intel uhd graphics; saídas 1x displayport + 1x hdmi 2.1. conectividade: intel wi-fi 6e ax211 (802.11ax 2x2), bluetooth 5.3 e chipset intel q670. interfaces: 5x usb 3.2, 2x usb 3.2 type-c (frontal/traseira), 1x usb 2.0. gabinete: volume de 1l; acompanha suporte vesa mount + clamp (4xf107369). energia: bivolt automática; cabo nbr 14136. sistema operacional: windows 11 professional em português. periféricos: teclado abnt2 e mouse 2000dpi (c/ mousepad). monitor: t24- 40 ips 23.8" fhd (1920x1080). garantia: 60 meses on-site (atendimento no local). marcas de referência: lenovo, dell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450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Times New Roman" w:ascii="Verdana" w:hAnsi="Verdana"/>
                <w:b w:val="false"/>
                <w:bCs w:val="false"/>
                <w:color w:val="auto"/>
                <w:kern w:val="0"/>
                <w:sz w:val="20"/>
                <w:szCs w:val="20"/>
                <w:lang w:val="pt-BR" w:eastAsia="zh-CN" w:bidi="ar-SA"/>
              </w:rPr>
              <w:t>R$ 7.400,00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Times New Roman" w:ascii="Verdana" w:hAnsi="Verdana"/>
                <w:b w:val="false"/>
                <w:bCs w:val="false"/>
                <w:color w:val="auto"/>
                <w:kern w:val="0"/>
                <w:sz w:val="20"/>
                <w:szCs w:val="20"/>
                <w:lang w:val="pt-BR" w:eastAsia="zh-CN" w:bidi="ar-SA"/>
              </w:rPr>
              <w:t>R$  3.330.000,00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02</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NOTEBOOK COM AS SEGUINTES CONFIGURAÇÕES: processador intel core ultra 7 165h frequência turbo máxima de até 5,0 ghz para núcleos de alto desempenho 24 mb de cache l3, 16 núcleos e 22 threads. compatível com intel sipp/vpro enterprise; memória padrão (2) slots sodimm o sistema opera a 5600 mt/s suporta memória de canal duplo configurações 64 gb (2 x 32 gb) de ram ddr5-5600 mt/s gráficos suportados: compatível com hdmi 2.1 opções de painel de exibição sem tela sensível ao toque: tela diagonal de 35,6 cm (14,0 pol.) , wuxga, curva, lcd, uwva, antirreflexo, wled e baixa emissão de luz azul, 1000 nits, 100% srgb com tela de privacidade integrada hp sure view reflect (1920 x 1200) armazenamento/unidades: opções primárias de unidade de estado sólido (ssd) ssd opal2 tlc de 512 gb, pcie gen 4.0 nvme e com criptografia automática. redes de contatos/comunicação: rede local sem fio (wlan) placa de rede sem fio intel wi-fi 6e ax211 (2x2) e bluetooth 5.3, vpro ethernet (rj-45) intel i219-lm gbe, vpro comunicação por campo de proximidade (nfc) nfc mirage wnc xrav-1 portas/slots: (2) portas thunderbolt 4 usb4 type-c de 40 gbps; (usb power delivery e displayport 1.4) (2) portas usb 3.2 gen 1.0 tipo a; taxa de sinalização de 5 gbps (porta de carregamento no lado esquerdo) (1) porta ethernet rj-45 (1) conector combinado para fone de ouvido/microfone (1) hdmi v2.1 áudio/multimídia: áudio por poly studio (2) alto-falantes estéreo integrados (2) microfones de matriz dupla integrados 2 watts/4 ohms (por alto-falante) software/segurança: atualização da bios via rede hp biosphere hp drivelock e drivelock automático sensor de impressão digital hp hp secure erase hp wake on wlan módulo de plataforma confiável (tpm) de segurança infineon slb9672vu2.0 fw15.23 nuvoton npct760habyx adaptador de energia hp standard usb type-c de 65 w bateria principal long life de 3 células, 56 wh, polímero de íon de lítio cabo de alimentação plugue de 3 pinos com 1,0 m (3,28 pés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90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 xml:space="preserve">R$ </w:t>
            </w:r>
            <w:r>
              <w:rPr>
                <w:rFonts w:eastAsia="Times New Roman" w:cs="Times New Roman" w:ascii="Verdana" w:hAnsi="Verdana"/>
                <w:b w:val="false"/>
                <w:bCs w:val="false"/>
                <w:color w:val="auto"/>
                <w:kern w:val="0"/>
                <w:sz w:val="20"/>
                <w:szCs w:val="20"/>
                <w:lang w:val="pt-BR" w:eastAsia="zh-CN" w:bidi="ar-SA"/>
              </w:rPr>
              <w:t>7.800,00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702.000,00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03</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SCANNER PARA DIGITALIZAÇÃO DE DOCUMENTOS COM AS SEGUINTES CARACTERÍSTICAS: resolução mínima: óptica 600 dpi, interpolada 600 dpi; compatível com windows/mac/linux; digitaliza documentos, fotos e cartões; usb 2.0; dimensões mínimas: 280 (l) x 606 (p) x 366,4 (a) mm; peso: 3,2 kg; adf: 50 folhas; ciclo diário: 3.000 páginas; tamanho máx.: 21,6x35,5 cm; voltagem: 100-240v; duplex: sim; velocidade: 35 ppm simplex, 70 ipm duplex; formatos: jpeg, pdf, tiff; modos: cor 24 bits, escala cinza, monocromático; software: ocr incluso.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30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R$ 2.280,00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68.400,00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05</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IMPRESSORA MULTIFUNCIONAL COM TECNOLOGIA ECOTANK jato de tinta micropiezo 4 cores (cmyk); resolução: 5760x1440 dpi; velocidade iso: preto 10,5 m, cor 5 ppm; velocidade: preto 33 ppm, cor 15 ppm; duplex: preto 6 ppm, cor 4 ppm; tinta: preto 7.500 páginas, cores 6.000 páginas; compatibilidade: windows vista a 10, mac os x 10.6.8 a 10.12; dimensões: 37,5x34,7x18,7 cm; peso: 5,5 kg; cópia: 7,7 cpm preto, 3,8 cpm cor, 1-99 cópias; scanner: base plana cis, 1200 dpi, área 21,6x29,7 cm; conectividade: usb, wireless, wi-fi direct; papel: até 100 folhas; bandeja saída: 30 folhas; lcd 1,44"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40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 xml:space="preserve">R$ </w:t>
            </w:r>
            <w:r>
              <w:rPr>
                <w:rFonts w:eastAsia="Times New Roman" w:cs="Times New Roman" w:ascii="Verdana" w:hAnsi="Verdana"/>
                <w:b w:val="false"/>
                <w:bCs w:val="false"/>
                <w:color w:val="auto"/>
                <w:kern w:val="0"/>
                <w:sz w:val="20"/>
                <w:szCs w:val="20"/>
                <w:lang w:val="pt-BR" w:eastAsia="zh-CN" w:bidi="ar-SA"/>
              </w:rPr>
              <w:t>1.330,00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45.200,00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06</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TABLET processador: tipo de processador: octa core; velocidade do processador: velocidade máxima atinja 2.4 ghz em pelo menos um dos núcleos de alto desempenho; cpu: qualcomm® snapdragon® 680 (similar ou superior); arquitetura da cpu: qualcomm® kryotm 265 (similar ou superior). tela: tamanho: mínima de 10,9 polegadas; tecnologia: ips; taxa de atualização de tela: 60hz ou superior; câmera: resolução da câmera frontal: 5mp; resolução da câmera traseira: 8mp. memória: memória ram (gb): mínimo 8gb; memória total interna (gb): mínimo 128gb; memória expansível (microsd): sim. conectividade: conector de entrada: usb-c; conector de fone de ouvido: conector de fone de ouvido: p2 ou usb tipo c; rede móvel: não; versão de bluetooth: bluetooth 5.0; protocolos wi fi: ieee 802.11a/b/g/n/ac; suporte wi-fi: wi-fi 2.4ghz | wi-fi 5ghz; wi-fi direct: sim; wi-fi display: não; nfc: não; suporte a otg: sim. sensores: acelerômetro: sim; proximidade: não; giroscópio: não; bússola: não; luz ambiente: sim; motor de vibração: não; sensor de impressão digital: não; sensor magnético: sim. carregamento e bateria: potência máxima de carregamento: 18w; carregamento sem fio: não; capacidade da bateria (mah): 7000mah ou superior. áudio e vídeo: som estéreo: mínimo de dois alto-falantes de alta qualidade. outros recursos de áudio: áudio de alta resolução. conteúdo da embalagem: tablet: 1x tablet; carregador de tomada: 1x carregador usb a de 10w; capa protetora: sim; cabo usb: 1x cabo usb-c. referência: tablet redmi pad se, lenovo tab plus - zadx0169br, samsung galaxy tab s10 fe - sm-x510nzadzto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15</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 xml:space="preserve">R$ </w:t>
            </w:r>
            <w:r>
              <w:rPr>
                <w:rFonts w:eastAsia="Times New Roman" w:cs="Times New Roman" w:ascii="Verdana" w:hAnsi="Verdana"/>
                <w:b w:val="false"/>
                <w:bCs w:val="false"/>
                <w:color w:val="auto"/>
                <w:kern w:val="0"/>
                <w:sz w:val="20"/>
                <w:szCs w:val="20"/>
                <w:lang w:val="pt-BR" w:eastAsia="zh-CN" w:bidi="ar-SA"/>
              </w:rPr>
              <w:t>1.800,00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27.000,00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07</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HD EXTERNO 1TB usb 3.0; 4,8gb/s; 1tb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15</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R$ 410,00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6.150,00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08</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IMPRESSORA A LASER (COMUM) :. compatibilidade: usb 2.0; wi-fi: não; ethernet: não; funções: impressão (sim), cópia (não), scanner (não), fax (não); frente e verso: não (manual); tecnologia: laser; resolução mínima: 1200x600dpi; velocidade: 22 ppm; ciclo mensal: até 10.000 páginas; bandeja entrada: 150 folhas; bandeja saída: 100 folhas; suprimento: cartucho; dimensões mínimas: 350x230x200 mm; alimentação: 127v; garantia: 12 meses.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 xml:space="preserve">R$ </w:t>
            </w:r>
            <w:r>
              <w:rPr>
                <w:rFonts w:eastAsia="Times New Roman" w:cs="Times New Roman" w:ascii="Verdana" w:hAnsi="Verdana"/>
                <w:b w:val="false"/>
                <w:bCs w:val="false"/>
                <w:color w:val="auto"/>
                <w:kern w:val="0"/>
                <w:sz w:val="20"/>
                <w:szCs w:val="20"/>
                <w:lang w:val="pt-BR" w:eastAsia="zh-CN" w:bidi="ar-SA"/>
              </w:rPr>
              <w:t>770,00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7.700,00</w:t>
            </w:r>
          </w:p>
        </w:tc>
      </w:tr>
      <w:tr>
        <w:trPr/>
        <w:tc>
          <w:tcPr>
            <w:tcW w:w="669"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sz w:val="20"/>
                <w:szCs w:val="20"/>
              </w:rPr>
              <w:t>09</w:t>
            </w:r>
          </w:p>
        </w:tc>
        <w:tc>
          <w:tcPr>
            <w:tcW w:w="4156" w:type="dxa"/>
            <w:tcBorders>
              <w:left w:val="single" w:sz="2" w:space="0" w:color="000000"/>
              <w:bottom w:val="single" w:sz="2" w:space="0" w:color="000000"/>
            </w:tcBorders>
            <w:vAlign w:val="center"/>
          </w:tcPr>
          <w:p>
            <w:pPr>
              <w:pStyle w:val="Normal"/>
              <w:widowControl w:val="false"/>
              <w:suppressAutoHyphens w:val="false"/>
              <w:ind w:right="0"/>
              <w:jc w:val="both"/>
              <w:rPr>
                <w:rFonts w:ascii="Verdana" w:hAnsi="Verdana"/>
                <w:sz w:val="20"/>
                <w:szCs w:val="20"/>
              </w:rPr>
            </w:pPr>
            <w:r>
              <w:rPr>
                <w:rFonts w:eastAsia="Times New Roman" w:cs="Arial" w:ascii="Verdana" w:hAnsi="Verdana"/>
                <w:color w:val="000000"/>
                <w:kern w:val="0"/>
                <w:sz w:val="20"/>
                <w:szCs w:val="20"/>
                <w:lang w:val="pt-BR" w:eastAsia="pt-BR" w:bidi="ar-SA"/>
              </w:rPr>
              <w:t xml:space="preserve">SSD (SOLID STATE DRIVE) M.2 2280 NVME PCIE 256 GB </w:t>
            </w:r>
          </w:p>
        </w:tc>
        <w:tc>
          <w:tcPr>
            <w:tcW w:w="775" w:type="dxa"/>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Unid</w:t>
            </w:r>
          </w:p>
        </w:tc>
        <w:tc>
          <w:tcPr>
            <w:tcW w:w="688"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eastAsia="Times New Roman" w:cs="Arial" w:ascii="Verdana" w:hAnsi="Verdana"/>
                <w:b w:val="false"/>
                <w:bCs w:val="false"/>
                <w:color w:val="000000"/>
                <w:kern w:val="0"/>
                <w:sz w:val="20"/>
                <w:szCs w:val="20"/>
                <w:lang w:val="pt-BR" w:eastAsia="zh-CN" w:bidi="ar-SA"/>
              </w:rPr>
              <w:t>10</w:t>
            </w:r>
          </w:p>
        </w:tc>
        <w:tc>
          <w:tcPr>
            <w:tcW w:w="1362" w:type="dxa"/>
            <w:tcBorders>
              <w:left w:val="single" w:sz="2" w:space="0" w:color="000000"/>
              <w:bottom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val="false"/>
                <w:bCs w:val="false"/>
                <w:sz w:val="20"/>
                <w:szCs w:val="20"/>
              </w:rPr>
              <w:t>R$ 430,00</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sz w:val="20"/>
                <w:szCs w:val="20"/>
              </w:rPr>
              <w:t xml:space="preserve">R$ </w:t>
            </w:r>
            <w:r>
              <w:rPr>
                <w:rFonts w:eastAsia="Times New Roman" w:cs="Times New Roman" w:ascii="Verdana" w:hAnsi="Verdana"/>
                <w:b w:val="false"/>
                <w:bCs w:val="false"/>
                <w:color w:val="auto"/>
                <w:kern w:val="0"/>
                <w:sz w:val="20"/>
                <w:szCs w:val="20"/>
                <w:lang w:val="pt-BR" w:eastAsia="zh-CN" w:bidi="ar-SA"/>
              </w:rPr>
              <w:t>4.300,00</w:t>
            </w:r>
          </w:p>
        </w:tc>
      </w:tr>
      <w:tr>
        <w:trPr/>
        <w:tc>
          <w:tcPr>
            <w:tcW w:w="7650" w:type="dxa"/>
            <w:gridSpan w:val="5"/>
            <w:tcBorders>
              <w:left w:val="single" w:sz="2" w:space="0" w:color="000000"/>
              <w:bottom w:val="single" w:sz="2" w:space="0" w:color="000000"/>
            </w:tcBorders>
            <w:vAlign w:val="center"/>
          </w:tcPr>
          <w:p>
            <w:pPr>
              <w:pStyle w:val="Contedodatabela"/>
              <w:widowControl w:val="false"/>
              <w:ind w:right="0"/>
              <w:jc w:val="center"/>
              <w:rPr>
                <w:rFonts w:ascii="Verdana" w:hAnsi="Verdana"/>
                <w:sz w:val="20"/>
                <w:szCs w:val="20"/>
              </w:rPr>
            </w:pPr>
            <w:r>
              <w:rPr>
                <w:rFonts w:ascii="Verdana" w:hAnsi="Verdana"/>
                <w:b/>
                <w:bCs/>
                <w:sz w:val="20"/>
                <w:szCs w:val="20"/>
              </w:rPr>
              <w:t>Total Estimado da contratação</w:t>
            </w:r>
          </w:p>
        </w:tc>
        <w:tc>
          <w:tcPr>
            <w:tcW w:w="2016" w:type="dxa"/>
            <w:tcBorders>
              <w:left w:val="single" w:sz="2" w:space="0" w:color="000000"/>
              <w:bottom w:val="single" w:sz="2" w:space="0" w:color="000000"/>
              <w:right w:val="single" w:sz="2" w:space="0" w:color="000000"/>
            </w:tcBorders>
            <w:vAlign w:val="center"/>
          </w:tcPr>
          <w:p>
            <w:pPr>
              <w:pStyle w:val="Normal"/>
              <w:widowControl w:val="false"/>
              <w:tabs>
                <w:tab w:val="clear" w:pos="708"/>
              </w:tabs>
              <w:ind w:right="0"/>
              <w:jc w:val="center"/>
              <w:rPr>
                <w:rFonts w:ascii="Verdana" w:hAnsi="Verdana"/>
                <w:sz w:val="20"/>
                <w:szCs w:val="20"/>
              </w:rPr>
            </w:pPr>
            <w:r>
              <w:rPr>
                <w:rFonts w:ascii="Verdana" w:hAnsi="Verdana"/>
                <w:b/>
                <w:bCs/>
                <w:sz w:val="20"/>
                <w:szCs w:val="20"/>
                <w:shd w:fill="auto" w:val="clear"/>
              </w:rPr>
              <w:t xml:space="preserve">R$ </w:t>
            </w:r>
            <w:r>
              <w:rPr>
                <w:rFonts w:eastAsia="Times New Roman" w:cs="Times New Roman" w:ascii="Verdana" w:hAnsi="Verdana"/>
                <w:b/>
                <w:bCs/>
                <w:color w:val="000000"/>
                <w:kern w:val="0"/>
                <w:sz w:val="20"/>
                <w:szCs w:val="20"/>
                <w:shd w:fill="auto" w:val="clear"/>
                <w:lang w:val="pt-BR" w:eastAsia="zh-CN" w:bidi="ar-SA"/>
              </w:rPr>
              <w:t>4.160.750,00</w:t>
            </w:r>
          </w:p>
        </w:tc>
      </w:tr>
    </w:tbl>
    <w:p>
      <w:pPr>
        <w:pStyle w:val="Normal"/>
        <w:suppressAutoHyphens w:val="false"/>
        <w:spacing w:lineRule="auto" w:line="240" w:before="0" w:after="0"/>
        <w:ind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rPr>
        <w:t>10. DESCRIÇÃO DA SOLUÇÃO COMO UM TODO</w:t>
      </w:r>
    </w:p>
    <w:p>
      <w:pPr>
        <w:pStyle w:val="Normal"/>
        <w:spacing w:lineRule="auto" w:line="240" w:before="0" w:after="0"/>
        <w:ind w:right="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no registro de preços de equipamentos de informática, por um período de 12 meses, para as diversas secretarias municipais da Prefeitura de São Gabriel da Palha.</w:t>
      </w:r>
    </w:p>
    <w:p>
      <w:pPr>
        <w:pStyle w:val="Normal"/>
        <w:spacing w:lineRule="auto" w:line="240" w:before="0" w:after="0"/>
        <w:ind w:right="0"/>
        <w:jc w:val="both"/>
        <w:rPr>
          <w:rFonts w:ascii="Verdana" w:hAnsi="Verdana"/>
          <w:sz w:val="20"/>
          <w:szCs w:val="20"/>
        </w:rPr>
      </w:pPr>
      <w:r>
        <w:rPr>
          <w:rFonts w:cs="Arial" w:ascii="Verdana" w:hAnsi="Verdana"/>
          <w:b/>
          <w:bCs/>
          <w:sz w:val="20"/>
          <w:szCs w:val="20"/>
          <w:shd w:fill="auto" w:val="clear"/>
        </w:rPr>
        <w:t>10.2.</w:t>
      </w:r>
      <w:r>
        <w:rPr>
          <w:rFonts w:cs="Arial" w:ascii="Verdana" w:hAnsi="Verdana"/>
          <w:b w:val="false"/>
          <w:bCs w:val="false"/>
          <w:sz w:val="20"/>
          <w:szCs w:val="20"/>
          <w:shd w:fill="auto" w:val="clear"/>
        </w:rPr>
        <w:t xml:space="preserve"> Os </w:t>
      </w:r>
      <w:r>
        <w:rPr>
          <w:rFonts w:eastAsia="Times New Roman" w:cs="Arial" w:ascii="Verdana" w:hAnsi="Verdana"/>
          <w:b w:val="false"/>
          <w:bCs w:val="false"/>
          <w:color w:val="000000"/>
          <w:kern w:val="0"/>
          <w:sz w:val="20"/>
          <w:szCs w:val="20"/>
          <w:shd w:fill="auto" w:val="clear"/>
          <w:lang w:val="pt-BR" w:eastAsia="zh-CN" w:bidi="ar-SA"/>
        </w:rPr>
        <w:t>materiais</w:t>
      </w:r>
      <w:r>
        <w:rPr>
          <w:rFonts w:cs="Arial" w:ascii="Verdana" w:hAnsi="Verdana"/>
          <w:b w:val="false"/>
          <w:bCs w:val="false"/>
          <w:sz w:val="20"/>
          <w:szCs w:val="20"/>
          <w:shd w:fill="auto" w:val="clear"/>
        </w:rPr>
        <w:t xml:space="preserve"> deverão ser </w:t>
      </w:r>
      <w:r>
        <w:rPr>
          <w:rFonts w:eastAsia="Times New Roman" w:cs="Arial" w:ascii="Verdana" w:hAnsi="Verdana"/>
          <w:b w:val="false"/>
          <w:bCs w:val="false"/>
          <w:color w:val="000000"/>
          <w:kern w:val="0"/>
          <w:sz w:val="20"/>
          <w:szCs w:val="20"/>
          <w:shd w:fill="auto" w:val="clear"/>
          <w:lang w:val="pt-BR" w:eastAsia="zh-CN" w:bidi="ar-SA"/>
        </w:rPr>
        <w:t>entregues</w:t>
      </w:r>
      <w:r>
        <w:rPr>
          <w:rFonts w:cs="Arial" w:ascii="Verdana" w:hAnsi="Verdana"/>
          <w:b w:val="false"/>
          <w:bCs w:val="false"/>
          <w:sz w:val="20"/>
          <w:szCs w:val="20"/>
          <w:shd w:fill="auto" w:val="clear"/>
        </w:rPr>
        <w:t xml:space="preserve"> respeitando as seguintes tarefas:</w:t>
      </w:r>
    </w:p>
    <w:p>
      <w:pPr>
        <w:pStyle w:val="Normal"/>
        <w:spacing w:lineRule="auto" w:line="240" w:before="0" w:after="0"/>
        <w:ind w:right="0"/>
        <w:jc w:val="both"/>
        <w:rPr>
          <w:rFonts w:ascii="Verdana" w:hAnsi="Verdana"/>
          <w:sz w:val="20"/>
          <w:szCs w:val="20"/>
          <w:highlight w:val="none"/>
          <w:shd w:fill="auto" w:val="clear"/>
        </w:rPr>
      </w:pPr>
      <w:r>
        <w:rPr>
          <w:rFonts w:ascii="Verdana" w:hAnsi="Verdana"/>
          <w:sz w:val="20"/>
          <w:szCs w:val="20"/>
          <w:shd w:fill="auto" w:val="clear"/>
        </w:rPr>
      </w:r>
    </w:p>
    <w:tbl>
      <w:tblPr>
        <w:tblW w:w="5000" w:type="pct"/>
        <w:jc w:val="left"/>
        <w:tblInd w:w="-5" w:type="dxa"/>
        <w:tblLayout w:type="fixed"/>
        <w:tblCellMar>
          <w:top w:w="55" w:type="dxa"/>
          <w:left w:w="55" w:type="dxa"/>
          <w:bottom w:w="55" w:type="dxa"/>
          <w:right w:w="55" w:type="dxa"/>
        </w:tblCellMar>
      </w:tblPr>
      <w:tblGrid>
        <w:gridCol w:w="381"/>
        <w:gridCol w:w="9364"/>
      </w:tblGrid>
      <w:tr>
        <w:trPr/>
        <w:tc>
          <w:tcPr>
            <w:tcW w:w="381" w:type="dxa"/>
            <w:tcBorders>
              <w:top w:val="single" w:sz="4" w:space="0" w:color="000000"/>
              <w:left w:val="single" w:sz="4" w:space="0" w:color="000000"/>
              <w:bottom w:val="single" w:sz="4" w:space="0" w:color="000000"/>
            </w:tcBorders>
          </w:tcPr>
          <w:p>
            <w:pPr>
              <w:pStyle w:val="Normal"/>
              <w:widowControl w:val="false"/>
              <w:spacing w:lineRule="auto" w:line="240" w:before="0" w:after="0"/>
              <w:ind w:right="0"/>
              <w:jc w:val="both"/>
              <w:rPr>
                <w:rFonts w:ascii="Verdana" w:hAnsi="Verdana"/>
                <w:sz w:val="20"/>
                <w:szCs w:val="20"/>
              </w:rPr>
            </w:pPr>
            <w:r>
              <w:rPr>
                <w:rFonts w:ascii="Verdana" w:hAnsi="Verdana"/>
                <w:sz w:val="20"/>
                <w:szCs w:val="20"/>
                <w:shd w:fill="auto" w:val="clear"/>
              </w:rPr>
              <w:t>1</w:t>
            </w:r>
          </w:p>
        </w:tc>
        <w:tc>
          <w:tcPr>
            <w:tcW w:w="9364" w:type="dxa"/>
            <w:tcBorders>
              <w:top w:val="single" w:sz="4" w:space="0" w:color="000000"/>
              <w:bottom w:val="single" w:sz="4" w:space="0" w:color="000000"/>
              <w:right w:val="single" w:sz="4" w:space="0" w:color="000000"/>
            </w:tcBorders>
          </w:tcPr>
          <w:p>
            <w:pPr>
              <w:pStyle w:val="Normal"/>
              <w:widowControl w:val="false"/>
              <w:spacing w:lineRule="auto" w:line="240" w:before="0" w:after="0"/>
              <w:ind w:righ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Transporte e logística dos produtos até o local de entrega;</w:t>
            </w:r>
          </w:p>
        </w:tc>
      </w:tr>
      <w:tr>
        <w:trPr/>
        <w:tc>
          <w:tcPr>
            <w:tcW w:w="381" w:type="dxa"/>
            <w:tcBorders>
              <w:left w:val="single" w:sz="4" w:space="0" w:color="000000"/>
              <w:bottom w:val="single" w:sz="4" w:space="0" w:color="000000"/>
            </w:tcBorders>
          </w:tcPr>
          <w:p>
            <w:pPr>
              <w:pStyle w:val="Normal"/>
              <w:widowControl w:val="false"/>
              <w:spacing w:lineRule="auto" w:line="240" w:before="0" w:after="0"/>
              <w:ind w:right="0"/>
              <w:jc w:val="both"/>
              <w:rPr>
                <w:rFonts w:ascii="Verdana" w:hAnsi="Verdana"/>
                <w:sz w:val="20"/>
                <w:szCs w:val="20"/>
              </w:rPr>
            </w:pPr>
            <w:r>
              <w:rPr>
                <w:rFonts w:ascii="Verdana" w:hAnsi="Verdana"/>
                <w:sz w:val="20"/>
                <w:szCs w:val="20"/>
                <w:shd w:fill="auto" w:val="clear"/>
              </w:rPr>
              <w:t>2</w:t>
            </w:r>
          </w:p>
        </w:tc>
        <w:tc>
          <w:tcPr>
            <w:tcW w:w="9364" w:type="dxa"/>
            <w:tcBorders>
              <w:bottom w:val="single" w:sz="4" w:space="0" w:color="000000"/>
              <w:right w:val="single" w:sz="4" w:space="0" w:color="000000"/>
            </w:tcBorders>
          </w:tcPr>
          <w:p>
            <w:pPr>
              <w:pStyle w:val="Normal"/>
              <w:widowControl w:val="false"/>
              <w:spacing w:lineRule="auto" w:line="240" w:before="0" w:after="0"/>
              <w:ind w:righ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Obedecer o prazo de entrega, de até 15 dias, conforme determinado.</w:t>
            </w:r>
          </w:p>
        </w:tc>
      </w:tr>
      <w:tr>
        <w:trPr/>
        <w:tc>
          <w:tcPr>
            <w:tcW w:w="381" w:type="dxa"/>
            <w:tcBorders>
              <w:left w:val="single" w:sz="4" w:space="0" w:color="000000"/>
              <w:bottom w:val="single" w:sz="4" w:space="0" w:color="000000"/>
            </w:tcBorders>
          </w:tcPr>
          <w:p>
            <w:pPr>
              <w:pStyle w:val="Normal"/>
              <w:widowControl w:val="false"/>
              <w:spacing w:lineRule="auto" w:line="240" w:before="0" w:after="0"/>
              <w:ind w:right="0"/>
              <w:jc w:val="both"/>
              <w:rPr>
                <w:rFonts w:ascii="Verdana" w:hAnsi="Verdana"/>
                <w:sz w:val="20"/>
                <w:szCs w:val="20"/>
              </w:rPr>
            </w:pPr>
            <w:r>
              <w:rPr>
                <w:rFonts w:ascii="Verdana" w:hAnsi="Verdana"/>
                <w:sz w:val="20"/>
                <w:szCs w:val="20"/>
                <w:shd w:fill="auto" w:val="clear"/>
              </w:rPr>
              <w:t>3</w:t>
            </w:r>
          </w:p>
        </w:tc>
        <w:tc>
          <w:tcPr>
            <w:tcW w:w="9364" w:type="dxa"/>
            <w:tcBorders>
              <w:bottom w:val="single" w:sz="4" w:space="0" w:color="000000"/>
              <w:right w:val="single" w:sz="4" w:space="0" w:color="000000"/>
            </w:tcBorders>
          </w:tcPr>
          <w:p>
            <w:pPr>
              <w:pStyle w:val="Normal"/>
              <w:widowControl w:val="false"/>
              <w:spacing w:lineRule="auto" w:line="240" w:before="0" w:after="0"/>
              <w:ind w:righ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Entregar os materiais em prefeitas condições de uso;</w:t>
            </w:r>
          </w:p>
        </w:tc>
      </w:tr>
      <w:tr>
        <w:trPr/>
        <w:tc>
          <w:tcPr>
            <w:tcW w:w="381" w:type="dxa"/>
            <w:tcBorders>
              <w:left w:val="single" w:sz="4" w:space="0" w:color="000000"/>
              <w:bottom w:val="single" w:sz="4" w:space="0" w:color="000000"/>
            </w:tcBorders>
          </w:tcPr>
          <w:p>
            <w:pPr>
              <w:pStyle w:val="Normal"/>
              <w:widowControl w:val="false"/>
              <w:spacing w:lineRule="auto" w:line="240" w:before="0" w:after="0"/>
              <w:ind w:right="0"/>
              <w:jc w:val="both"/>
              <w:rPr>
                <w:rFonts w:ascii="Verdana" w:hAnsi="Verdana"/>
                <w:sz w:val="20"/>
                <w:szCs w:val="20"/>
              </w:rPr>
            </w:pPr>
            <w:r>
              <w:rPr>
                <w:rFonts w:ascii="Verdana" w:hAnsi="Verdana"/>
                <w:sz w:val="20"/>
                <w:szCs w:val="20"/>
                <w:shd w:fill="auto" w:val="clear"/>
              </w:rPr>
              <w:t>4</w:t>
            </w:r>
          </w:p>
        </w:tc>
        <w:tc>
          <w:tcPr>
            <w:tcW w:w="9364" w:type="dxa"/>
            <w:tcBorders>
              <w:bottom w:val="single" w:sz="4" w:space="0" w:color="000000"/>
              <w:right w:val="single" w:sz="4" w:space="0" w:color="000000"/>
            </w:tcBorders>
          </w:tcPr>
          <w:p>
            <w:pPr>
              <w:pStyle w:val="Normal"/>
              <w:widowControl w:val="false"/>
              <w:spacing w:lineRule="auto" w:line="240" w:before="0" w:after="0"/>
              <w:ind w:righ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Substituir os equipamentos avariados ou com defeito, provocados pelo transporte inadequado;</w:t>
            </w:r>
          </w:p>
        </w:tc>
      </w:tr>
      <w:tr>
        <w:trPr/>
        <w:tc>
          <w:tcPr>
            <w:tcW w:w="381" w:type="dxa"/>
            <w:tcBorders>
              <w:left w:val="single" w:sz="4" w:space="0" w:color="000000"/>
              <w:bottom w:val="single" w:sz="4" w:space="0" w:color="000000"/>
            </w:tcBorders>
          </w:tcPr>
          <w:p>
            <w:pPr>
              <w:pStyle w:val="Normal"/>
              <w:widowControl w:val="false"/>
              <w:spacing w:lineRule="auto" w:line="240" w:before="0" w:after="0"/>
              <w:ind w:right="0"/>
              <w:jc w:val="both"/>
              <w:rPr>
                <w:rFonts w:ascii="Verdana" w:hAnsi="Verdana"/>
                <w:sz w:val="20"/>
                <w:szCs w:val="20"/>
              </w:rPr>
            </w:pPr>
            <w:r>
              <w:rPr>
                <w:rFonts w:ascii="Verdana" w:hAnsi="Verdana"/>
                <w:sz w:val="20"/>
                <w:szCs w:val="20"/>
                <w:shd w:fill="auto" w:val="clear"/>
              </w:rPr>
              <w:t>5</w:t>
            </w:r>
          </w:p>
        </w:tc>
        <w:tc>
          <w:tcPr>
            <w:tcW w:w="9364" w:type="dxa"/>
            <w:tcBorders>
              <w:bottom w:val="single" w:sz="4" w:space="0" w:color="000000"/>
              <w:right w:val="single" w:sz="4" w:space="0" w:color="000000"/>
            </w:tcBorders>
          </w:tcPr>
          <w:p>
            <w:pPr>
              <w:pStyle w:val="Normal"/>
              <w:widowControl w:val="false"/>
              <w:spacing w:lineRule="auto" w:line="240" w:before="0" w:after="0"/>
              <w:ind w:righ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Prestar assistência técnica integral durante o período de garantia dos equipamentos.</w:t>
            </w:r>
          </w:p>
        </w:tc>
      </w:tr>
    </w:tbl>
    <w:p>
      <w:pPr>
        <w:pStyle w:val="Normal"/>
        <w:ind w:right="0"/>
        <w:jc w:val="both"/>
        <w:rPr>
          <w:rFonts w:ascii="Verdana" w:hAnsi="Verdana"/>
          <w:sz w:val="20"/>
          <w:szCs w:val="20"/>
        </w:rPr>
      </w:pPr>
      <w:r>
        <w:rPr>
          <w:rFonts w:ascii="Verdana" w:hAnsi="Verdana"/>
          <w:sz w:val="20"/>
          <w:szCs w:val="20"/>
        </w:rPr>
      </w:r>
    </w:p>
    <w:p>
      <w:pPr>
        <w:pStyle w:val="Normal"/>
        <w:ind w:right="0"/>
        <w:jc w:val="both"/>
        <w:rPr>
          <w:rFonts w:ascii="Verdana" w:hAnsi="Verdana"/>
          <w:sz w:val="20"/>
          <w:szCs w:val="20"/>
        </w:rPr>
      </w:pPr>
      <w:r>
        <w:rPr>
          <w:rFonts w:ascii="Verdana" w:hAnsi="Verdana"/>
          <w:b/>
          <w:bCs/>
          <w:color w:val="000000"/>
          <w:sz w:val="20"/>
          <w:szCs w:val="20"/>
        </w:rPr>
        <w:t>10.3.</w:t>
      </w:r>
      <w:r>
        <w:rPr>
          <w:rFonts w:ascii="Verdana" w:hAnsi="Verdana"/>
          <w:color w:val="000000"/>
          <w:sz w:val="20"/>
          <w:szCs w:val="20"/>
        </w:rPr>
        <w:t xml:space="preserve"> </w:t>
      </w:r>
      <w:r>
        <w:rPr>
          <w:rFonts w:eastAsia="Arial" w:cs="Arial" w:ascii="Verdana" w:hAnsi="Verdana"/>
          <w:b w:val="false"/>
          <w:bCs w:val="false"/>
          <w:color w:val="000000"/>
          <w:sz w:val="20"/>
          <w:szCs w:val="20"/>
          <w:shd w:fill="auto" w:val="clear"/>
        </w:rPr>
        <w:t>As especificações dos produtos que estão contidas neste Estudo Técnico Preliminar, conforme solicitação de compras em anexo, estão de acordo com os padr</w:t>
      </w:r>
      <w:r>
        <w:rPr>
          <w:rFonts w:eastAsia="Arial" w:cs="Arial" w:ascii="Verdana" w:hAnsi="Verdana"/>
          <w:b w:val="false"/>
          <w:bCs w:val="false"/>
          <w:color w:val="000000"/>
          <w:sz w:val="20"/>
          <w:szCs w:val="20"/>
        </w:rPr>
        <w:t>ões existentes no mercado.</w:t>
      </w:r>
    </w:p>
    <w:p>
      <w:pPr>
        <w:pStyle w:val="Normal"/>
        <w:spacing w:lineRule="auto" w:line="240" w:before="0" w:after="0"/>
        <w:ind w:right="0"/>
        <w:jc w:val="both"/>
        <w:rPr>
          <w:rFonts w:ascii="Verdana" w:hAnsi="Verdana"/>
          <w:sz w:val="20"/>
          <w:szCs w:val="20"/>
        </w:rPr>
      </w:pPr>
      <w:r>
        <w:rPr>
          <w:rFonts w:eastAsia="Times New Roman" w:cs="Arial" w:ascii="Verdana" w:hAnsi="Verdana"/>
          <w:b/>
          <w:bCs/>
          <w:color w:val="000000"/>
          <w:kern w:val="0"/>
          <w:sz w:val="20"/>
          <w:szCs w:val="20"/>
          <w:lang w:val="pt-BR" w:eastAsia="zh-CN" w:bidi="ar-SA"/>
        </w:rPr>
        <w:t xml:space="preserve">10.7. </w:t>
      </w:r>
      <w:r>
        <w:rPr>
          <w:rFonts w:eastAsia="Times New Roman" w:cs="Arial" w:ascii="Verdana" w:hAnsi="Verdana"/>
          <w:b w:val="false"/>
          <w:bCs w:val="false"/>
          <w:color w:val="000000"/>
          <w:kern w:val="0"/>
          <w:sz w:val="20"/>
          <w:szCs w:val="20"/>
          <w:lang w:val="pt-BR" w:eastAsia="zh-CN" w:bidi="ar-SA"/>
        </w:rPr>
        <w:t>A aquisição deverá obedecer, no que couber, ao disposto na Lei n.º 14.133/2021 e suas alterações.</w:t>
      </w:r>
    </w:p>
    <w:p>
      <w:pPr>
        <w:pStyle w:val="Normal"/>
        <w:tabs>
          <w:tab w:val="clear" w:pos="708"/>
          <w:tab w:val="left" w:pos="1050" w:leader="none"/>
        </w:tabs>
        <w:spacing w:lineRule="auto" w:line="240" w:before="0" w:after="0"/>
        <w:ind w:right="0"/>
        <w:jc w:val="both"/>
        <w:rPr>
          <w:rFonts w:ascii="Verdana" w:hAnsi="Verdana" w:eastAsia="Arial" w:cs="Arial"/>
          <w:b/>
          <w:color w:val="0000FF"/>
          <w:sz w:val="20"/>
          <w:szCs w:val="20"/>
        </w:rPr>
      </w:pPr>
      <w:r>
        <w:rPr>
          <w:rFonts w:eastAsia="Arial" w:cs="Arial" w:ascii="Verdana" w:hAnsi="Verdana"/>
          <w:b/>
          <w:color w:val="0000FF"/>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uppressAutoHyphens w:val="false"/>
        <w:spacing w:lineRule="auto" w:line="240" w:before="0" w:after="0"/>
        <w:ind w:hanging="0" w:left="0" w:right="0"/>
        <w:jc w:val="both"/>
        <w:rPr>
          <w:rFonts w:ascii="Verdana" w:hAnsi="Verdana"/>
          <w:sz w:val="20"/>
          <w:szCs w:val="20"/>
        </w:rPr>
      </w:pPr>
      <w:r>
        <w:rPr>
          <w:rFonts w:cs="Arial" w:ascii="Verdana" w:hAnsi="Verdana"/>
          <w:b/>
          <w:bCs/>
          <w:sz w:val="20"/>
          <w:szCs w:val="20"/>
          <w:shd w:fill="auto" w:val="clear"/>
        </w:rPr>
        <w:t>11.1.</w:t>
      </w:r>
      <w:r>
        <w:rPr>
          <w:rFonts w:cs="Arial" w:ascii="Verdana" w:hAnsi="Verdana"/>
          <w:b w:val="false"/>
          <w:bCs w:val="false"/>
          <w:sz w:val="20"/>
          <w:szCs w:val="20"/>
          <w:shd w:fill="auto" w:val="clear"/>
        </w:rPr>
        <w:t xml:space="preserve"> O objeto da contratação será composto por </w:t>
      </w:r>
      <w:r>
        <w:rPr>
          <w:rFonts w:eastAsia="Times New Roman" w:cs="Arial" w:ascii="Verdana" w:hAnsi="Verdana"/>
          <w:b w:val="false"/>
          <w:bCs w:val="false"/>
          <w:color w:val="000000"/>
          <w:kern w:val="0"/>
          <w:sz w:val="20"/>
          <w:szCs w:val="20"/>
          <w:shd w:fill="auto" w:val="clear"/>
          <w:lang w:val="pt-BR" w:eastAsia="zh-CN" w:bidi="ar-SA"/>
        </w:rPr>
        <w:t>08</w:t>
      </w:r>
      <w:r>
        <w:rPr>
          <w:rFonts w:cs="Arial" w:ascii="Verdana" w:hAnsi="Verdana"/>
          <w:b/>
          <w:bCs/>
          <w:sz w:val="20"/>
          <w:szCs w:val="20"/>
          <w:shd w:fill="auto" w:val="clear"/>
        </w:rPr>
        <w:t xml:space="preserve"> itens</w:t>
      </w:r>
      <w:r>
        <w:rPr>
          <w:rFonts w:cs="Arial" w:ascii="Verdana" w:hAnsi="Verdana"/>
          <w:b w:val="false"/>
          <w:bCs w:val="false"/>
          <w:sz w:val="20"/>
          <w:szCs w:val="20"/>
          <w:shd w:fill="auto" w:val="clear"/>
        </w:rPr>
        <w:t xml:space="preserve"> de preço total estimado orçado pela administração no valor</w:t>
      </w:r>
      <w:r>
        <w:rPr>
          <w:rFonts w:eastAsia="Arial" w:cs="Arial" w:ascii="Verdana" w:hAnsi="Verdana"/>
          <w:b/>
          <w:bCs w:val="false"/>
          <w:sz w:val="20"/>
          <w:szCs w:val="20"/>
          <w:shd w:fill="auto" w:val="clear"/>
        </w:rPr>
        <w:t xml:space="preserve"> </w:t>
      </w:r>
      <w:r>
        <w:rPr>
          <w:rFonts w:eastAsia="Times New Roman" w:cs="Times New Roman" w:ascii="Verdana" w:hAnsi="Verdana"/>
          <w:b/>
          <w:bCs/>
          <w:color w:val="000000"/>
          <w:kern w:val="0"/>
          <w:sz w:val="20"/>
          <w:szCs w:val="20"/>
          <w:shd w:fill="auto" w:val="clear"/>
          <w:lang w:val="pt-BR" w:eastAsia="zh-CN" w:bidi="ar-SA"/>
        </w:rPr>
        <w:t>R$ 4.160.750,00.</w:t>
      </w:r>
      <w:r>
        <w:rPr>
          <w:rFonts w:cs="Arial" w:ascii="Verdana" w:hAnsi="Verdana"/>
          <w:b/>
          <w:bCs/>
          <w:sz w:val="20"/>
          <w:szCs w:val="20"/>
          <w:shd w:fill="auto" w:val="clear"/>
        </w:rPr>
        <w:t xml:space="preserve"> </w:t>
      </w:r>
      <w:r>
        <w:rPr>
          <w:rFonts w:cs="Arial" w:ascii="Verdana" w:hAnsi="Verdana"/>
          <w:b w:val="false"/>
          <w:bCs w:val="false"/>
          <w:sz w:val="20"/>
          <w:szCs w:val="20"/>
          <w:shd w:fill="auto" w:val="clear"/>
        </w:rPr>
        <w:t xml:space="preserve">Para fins de classificação, será considerado o </w:t>
      </w:r>
      <w:r>
        <w:rPr>
          <w:rFonts w:cs="Arial" w:ascii="Verdana" w:hAnsi="Verdana"/>
          <w:b/>
          <w:bCs w:val="false"/>
          <w:sz w:val="20"/>
          <w:szCs w:val="20"/>
          <w:shd w:fill="auto" w:val="clear"/>
        </w:rPr>
        <w:t xml:space="preserve">menor preço </w:t>
      </w:r>
      <w:r>
        <w:rPr>
          <w:rFonts w:eastAsia="Times New Roman" w:cs="Arial" w:ascii="Verdana" w:hAnsi="Verdana"/>
          <w:b/>
          <w:bCs w:val="false"/>
          <w:color w:val="000000"/>
          <w:kern w:val="0"/>
          <w:sz w:val="20"/>
          <w:szCs w:val="20"/>
          <w:shd w:fill="auto" w:val="clear"/>
          <w:lang w:val="pt-BR" w:eastAsia="zh-CN" w:bidi="ar-SA"/>
        </w:rPr>
        <w:t>por item</w:t>
      </w:r>
      <w:r>
        <w:rPr>
          <w:rFonts w:cs="Arial" w:ascii="Verdana" w:hAnsi="Verdana"/>
          <w:b w:val="false"/>
          <w:bCs w:val="false"/>
          <w:sz w:val="20"/>
          <w:szCs w:val="20"/>
          <w:shd w:fill="auto" w:val="clear"/>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uppressAutoHyphens w:val="false"/>
        <w:spacing w:lineRule="auto" w:line="240" w:before="0" w:after="0"/>
        <w:ind w:hanging="0" w:left="0"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40" w:before="0" w:after="0"/>
        <w:ind w:right="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 contratação tem como garantir a execução de trabalhos administrativos </w:t>
      </w:r>
      <w:r>
        <w:rPr>
          <w:rFonts w:eastAsia="Times New Roman" w:cs="Arial" w:ascii="Verdana" w:hAnsi="Verdana"/>
          <w:color w:val="auto"/>
          <w:kern w:val="0"/>
          <w:sz w:val="20"/>
          <w:szCs w:val="20"/>
          <w:lang w:val="pt-BR" w:eastAsia="zh-CN" w:bidi="ar-SA"/>
        </w:rPr>
        <w:t>das Secretarias Municipais</w:t>
      </w:r>
      <w:r>
        <w:rPr>
          <w:rFonts w:cs="Arial" w:ascii="Verdana" w:hAnsi="Verdana"/>
          <w:sz w:val="20"/>
          <w:szCs w:val="20"/>
        </w:rPr>
        <w:t xml:space="preserve">, que exigem produção e impressão de documentos, armazenamento de arquivos digitais, dentre outros. </w:t>
      </w:r>
    </w:p>
    <w:p>
      <w:pPr>
        <w:pStyle w:val="Normal"/>
        <w:spacing w:before="0" w:after="0"/>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before="0" w:after="0"/>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ind w:right="0"/>
        <w:jc w:val="both"/>
        <w:rPr>
          <w:rFonts w:ascii="Verdana" w:hAnsi="Verdana"/>
          <w:sz w:val="20"/>
          <w:szCs w:val="20"/>
        </w:rPr>
      </w:pPr>
      <w:r>
        <w:rPr>
          <w:rFonts w:cs="Arial" w:ascii="Verdana" w:hAnsi="Verdana"/>
          <w:b/>
          <w:sz w:val="20"/>
          <w:szCs w:val="20"/>
        </w:rPr>
        <w:t>13. PROVIDÊNCIAS A SEREM ADOTADAS</w:t>
      </w:r>
    </w:p>
    <w:p>
      <w:pPr>
        <w:pStyle w:val="Normal"/>
        <w:spacing w:lineRule="auto" w:line="240" w:before="0" w:after="0"/>
        <w:ind w:right="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Assistência Social  </w:t>
      </w:r>
      <w:r>
        <w:rPr>
          <w:rFonts w:eastAsia="Times New Roman" w:cs="Arial" w:ascii="Verdana" w:hAnsi="Verdana"/>
          <w:b w:val="false"/>
          <w:bCs w:val="false"/>
          <w:color w:val="000000"/>
          <w:kern w:val="0"/>
          <w:sz w:val="20"/>
          <w:szCs w:val="20"/>
          <w:lang w:val="pt-BR" w:eastAsia="zh-CN" w:bidi="ar-SA"/>
        </w:rPr>
        <w:t xml:space="preserve">responsável por acompanhar a entrega do produto, </w:t>
      </w:r>
      <w:r>
        <w:rPr>
          <w:rFonts w:cs="Arial" w:ascii="Verdana" w:hAnsi="Verdana"/>
          <w:b w:val="false"/>
          <w:bCs w:val="false"/>
          <w:sz w:val="20"/>
          <w:szCs w:val="20"/>
        </w:rPr>
        <w:t>recebimento e conferência das especificações contidas no processo.</w:t>
      </w:r>
    </w:p>
    <w:p>
      <w:pPr>
        <w:pStyle w:val="Normal"/>
        <w:spacing w:lineRule="auto" w:line="240" w:before="0" w:after="0"/>
        <w:ind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w:t>
      </w:r>
    </w:p>
    <w:p>
      <w:pPr>
        <w:pStyle w:val="Normal"/>
        <w:spacing w:lineRule="auto" w:line="240" w:before="0" w:after="0"/>
        <w:ind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bCs/>
          <w:sz w:val="20"/>
          <w:szCs w:val="20"/>
          <w:shd w:fill="auto" w:val="clear"/>
        </w:rPr>
        <w:t xml:space="preserve">15.1. </w:t>
      </w:r>
      <w:r>
        <w:rPr>
          <w:rFonts w:eastAsia="Times New Roman" w:cs="Arial" w:ascii="Verdana" w:hAnsi="Verdana"/>
          <w:b w:val="false"/>
          <w:bCs w:val="false"/>
          <w:color w:val="000000"/>
          <w:kern w:val="0"/>
          <w:sz w:val="20"/>
          <w:szCs w:val="20"/>
          <w:shd w:fill="auto" w:val="clear"/>
          <w:lang w:val="pt-BR" w:eastAsia="zh-CN" w:bidi="ar-SA"/>
        </w:rPr>
        <w:t>Não há previsão de impacto ambiental para a contratação em tela.</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sz w:val="20"/>
          <w:szCs w:val="20"/>
        </w:rPr>
      </w:r>
    </w:p>
    <w:p>
      <w:pPr>
        <w:pStyle w:val="Normal"/>
        <w:spacing w:lineRule="auto" w:line="240" w:before="0" w:after="0"/>
        <w:ind w:right="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40" w:before="0" w:after="0"/>
        <w:ind w:right="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40" w:before="0" w:after="0"/>
        <w:ind w:right="0"/>
        <w:jc w:val="right"/>
        <w:rPr>
          <w:rFonts w:ascii="Verdana" w:hAnsi="Verdana" w:cs="Arial"/>
          <w:sz w:val="20"/>
          <w:szCs w:val="20"/>
          <w:highlight w:val="none"/>
          <w:shd w:fill="auto" w:val="clear"/>
        </w:rPr>
      </w:pPr>
      <w:r>
        <w:rPr>
          <w:rFonts w:cs="Arial" w:ascii="Verdana" w:hAnsi="Verdana"/>
          <w:sz w:val="20"/>
          <w:szCs w:val="20"/>
          <w:shd w:fill="auto" w:val="clear"/>
        </w:rPr>
      </w:r>
    </w:p>
    <w:p>
      <w:pPr>
        <w:pStyle w:val="Normal"/>
        <w:spacing w:lineRule="auto" w:line="240" w:before="0" w:after="0"/>
        <w:ind w:right="0"/>
        <w:jc w:val="right"/>
        <w:rPr>
          <w:rFonts w:ascii="Verdana" w:hAnsi="Verdana"/>
          <w:sz w:val="20"/>
          <w:szCs w:val="20"/>
        </w:rPr>
      </w:pPr>
      <w:r>
        <w:rPr>
          <w:rFonts w:cs="Arial" w:ascii="Verdana" w:hAnsi="Verdana"/>
          <w:sz w:val="20"/>
          <w:szCs w:val="20"/>
        </w:rPr>
        <w:t xml:space="preserve">São Gabriel da Palha, </w:t>
      </w:r>
      <w:r>
        <w:rPr>
          <w:rFonts w:eastAsia="Times New Roman" w:cs="Arial" w:ascii="Verdana" w:hAnsi="Verdana"/>
          <w:color w:val="auto"/>
          <w:kern w:val="0"/>
          <w:sz w:val="20"/>
          <w:szCs w:val="20"/>
          <w:lang w:val="pt-BR" w:eastAsia="zh-CN" w:bidi="ar-SA"/>
        </w:rPr>
        <w:t>26</w:t>
      </w:r>
      <w:r>
        <w:rPr>
          <w:rFonts w:cs="Arial" w:ascii="Verdana" w:hAnsi="Verdana"/>
          <w:sz w:val="20"/>
          <w:szCs w:val="20"/>
        </w:rPr>
        <w:t xml:space="preserve"> de </w:t>
      </w:r>
      <w:r>
        <w:rPr>
          <w:rFonts w:eastAsia="Times New Roman" w:cs="Arial" w:ascii="Verdana" w:hAnsi="Verdana"/>
          <w:color w:val="auto"/>
          <w:kern w:val="0"/>
          <w:sz w:val="20"/>
          <w:szCs w:val="20"/>
          <w:lang w:val="pt-BR" w:eastAsia="zh-CN" w:bidi="ar-SA"/>
        </w:rPr>
        <w:t>março</w:t>
      </w:r>
      <w:r>
        <w:rPr>
          <w:rFonts w:cs="Arial" w:ascii="Verdana" w:hAnsi="Verdana"/>
          <w:sz w:val="20"/>
          <w:szCs w:val="20"/>
        </w:rPr>
        <w:t xml:space="preserve"> de 2026. </w:t>
      </w:r>
    </w:p>
    <w:p>
      <w:pPr>
        <w:pStyle w:val="Normal"/>
        <w:spacing w:lineRule="auto" w:line="240" w:before="0" w:after="0"/>
        <w:ind w:right="0"/>
        <w:jc w:val="right"/>
        <w:rPr>
          <w:rFonts w:ascii="Verdana" w:hAnsi="Verdana" w:cs="Arial"/>
          <w:sz w:val="20"/>
          <w:szCs w:val="20"/>
        </w:rPr>
      </w:pPr>
      <w:r>
        <w:rPr>
          <w:rFonts w:cs="Arial" w:ascii="Verdana" w:hAnsi="Verdana"/>
          <w:sz w:val="20"/>
          <w:szCs w:val="20"/>
        </w:rPr>
      </w:r>
    </w:p>
    <w:p>
      <w:pPr>
        <w:pStyle w:val="Normal"/>
        <w:spacing w:lineRule="auto" w:line="240" w:before="0" w:after="0"/>
        <w:ind w:right="0"/>
        <w:jc w:val="right"/>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ind w:right="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40" w:before="0" w:after="0"/>
        <w:ind w:right="0"/>
        <w:jc w:val="both"/>
        <w:rPr>
          <w:rFonts w:ascii="Verdana" w:hAnsi="Verdana" w:cs="Arial"/>
          <w:b/>
          <w:sz w:val="20"/>
          <w:szCs w:val="20"/>
        </w:rPr>
      </w:pPr>
      <w:r>
        <w:rPr>
          <w:rFonts w:cs="Arial" w:ascii="Verdana" w:hAnsi="Verdana"/>
          <w:b/>
          <w:sz w:val="20"/>
          <w:szCs w:val="20"/>
        </w:rPr>
      </w:r>
    </w:p>
    <w:tbl>
      <w:tblPr>
        <w:tblW w:w="9746" w:type="dxa"/>
        <w:jc w:val="left"/>
        <w:tblInd w:w="0"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40" w:before="0" w:after="0"/>
              <w:ind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2" w:type="dxa"/>
            <w:tcBorders/>
          </w:tcPr>
          <w:p>
            <w:pPr>
              <w:pStyle w:val="Normal"/>
              <w:widowControl w:val="false"/>
              <w:ind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73" w:type="dxa"/>
            <w:tcBorders/>
          </w:tcPr>
          <w:p>
            <w:pPr>
              <w:pStyle w:val="Contedodatabela"/>
              <w:widowControl w:val="false"/>
              <w:ind w:righ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ind w:righ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ind w:right="0"/>
              <w:jc w:val="center"/>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ROSIELI VIAL ALVES AMORIM</w:t>
            </w:r>
          </w:p>
        </w:tc>
        <w:tc>
          <w:tcPr>
            <w:tcW w:w="4872" w:type="dxa"/>
            <w:tcBorders/>
          </w:tcPr>
          <w:p>
            <w:pPr>
              <w:pStyle w:val="Contedodatabela"/>
              <w:widowControl w:val="false"/>
              <w:ind w:righ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ind w:right="0"/>
              <w:jc w:val="center"/>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MARCELLA FERREIRA ROSSONI ROCHA</w:t>
            </w:r>
          </w:p>
        </w:tc>
      </w:tr>
      <w:tr>
        <w:trPr/>
        <w:tc>
          <w:tcPr>
            <w:tcW w:w="4873" w:type="dxa"/>
            <w:tcBorders/>
          </w:tcPr>
          <w:p>
            <w:pPr>
              <w:pStyle w:val="Normal"/>
              <w:widowControl w:val="false"/>
              <w:spacing w:lineRule="auto" w:line="240" w:before="0" w:after="0"/>
              <w:ind w:right="0"/>
              <w:jc w:val="center"/>
              <w:rPr>
                <w:rFonts w:ascii="Verdana" w:hAnsi="Verdana"/>
                <w:sz w:val="20"/>
                <w:szCs w:val="20"/>
              </w:rPr>
            </w:pPr>
            <w:r>
              <w:rPr>
                <w:rFonts w:cs="Arial" w:ascii="Verdana" w:hAnsi="Verdana"/>
                <w:sz w:val="20"/>
                <w:szCs w:val="20"/>
              </w:rPr>
              <w:t>Cargo: Assistente Administrativo</w:t>
            </w:r>
          </w:p>
          <w:p>
            <w:pPr>
              <w:pStyle w:val="Normal"/>
              <w:widowControl w:val="false"/>
              <w:spacing w:lineRule="auto" w:line="240" w:before="0" w:after="0"/>
              <w:ind w:right="0"/>
              <w:jc w:val="center"/>
              <w:rPr>
                <w:rFonts w:ascii="Verdana" w:hAnsi="Verdana"/>
                <w:sz w:val="20"/>
                <w:szCs w:val="20"/>
              </w:rPr>
            </w:pPr>
            <w:r>
              <w:rPr>
                <w:rFonts w:cs="Arial" w:ascii="Verdana" w:hAnsi="Verdana"/>
                <w:sz w:val="20"/>
                <w:szCs w:val="20"/>
              </w:rPr>
              <w:t>Matrícula nº 6048</w:t>
            </w:r>
          </w:p>
        </w:tc>
        <w:tc>
          <w:tcPr>
            <w:tcW w:w="4872" w:type="dxa"/>
            <w:tcBorders/>
          </w:tcPr>
          <w:p>
            <w:pPr>
              <w:pStyle w:val="Normal"/>
              <w:widowControl w:val="false"/>
              <w:tabs>
                <w:tab w:val="clear" w:pos="708"/>
                <w:tab w:val="left" w:pos="0" w:leader="none"/>
              </w:tabs>
              <w:suppressAutoHyphens w:val="true"/>
              <w:overflowPunct w:val="false"/>
              <w:bidi w:val="0"/>
              <w:spacing w:lineRule="atLeast" w:line="200" w:before="0" w:after="0"/>
              <w:ind w:hanging="0" w:left="0" w:right="0"/>
              <w:jc w:val="center"/>
              <w:rPr>
                <w:rFonts w:ascii="Verdana" w:hAnsi="Verdana"/>
                <w:sz w:val="20"/>
                <w:szCs w:val="20"/>
              </w:rPr>
            </w:pPr>
            <w:bookmarkStart w:id="0" w:name="_GoBack1"/>
            <w:bookmarkEnd w:id="0"/>
            <w:r>
              <w:rPr>
                <w:rFonts w:eastAsia="Arial" w:cs="Arial" w:ascii="Verdana" w:hAnsi="Verdana"/>
                <w:b w:val="false"/>
                <w:bCs w:val="false"/>
                <w:sz w:val="20"/>
                <w:szCs w:val="20"/>
              </w:rPr>
              <w:t>Secretária Municipal de Assistência Social</w:t>
            </w:r>
          </w:p>
          <w:p>
            <w:pPr>
              <w:pStyle w:val="Normal"/>
              <w:widowControl w:val="false"/>
              <w:tabs>
                <w:tab w:val="clear" w:pos="708"/>
                <w:tab w:val="left" w:pos="0" w:leader="none"/>
              </w:tabs>
              <w:suppressAutoHyphens w:val="true"/>
              <w:overflowPunct w:val="true"/>
              <w:bidi w:val="0"/>
              <w:spacing w:lineRule="atLeast" w:line="200" w:before="0" w:after="0"/>
              <w:ind w:hanging="0" w:left="0" w:right="0"/>
              <w:jc w:val="center"/>
              <w:rPr>
                <w:rFonts w:ascii="Verdana" w:hAnsi="Verdana"/>
                <w:sz w:val="20"/>
                <w:szCs w:val="20"/>
              </w:rPr>
            </w:pPr>
            <w:r>
              <w:rPr>
                <w:rFonts w:eastAsia="Arial" w:cs="Arial" w:ascii="Verdana" w:hAnsi="Verdana"/>
                <w:b w:val="false"/>
                <w:bCs w:val="false"/>
                <w:i w:val="false"/>
                <w:iCs w:val="false"/>
                <w:strike w:val="false"/>
                <w:dstrike w:val="false"/>
                <w:outline w:val="false"/>
                <w:shadow w:val="false"/>
                <w:color w:val="000000"/>
                <w:sz w:val="20"/>
                <w:szCs w:val="20"/>
                <w:u w:val="none"/>
              </w:rPr>
              <w:t xml:space="preserve">Decreto nº </w:t>
            </w:r>
            <w:r>
              <w:rPr>
                <w:rFonts w:eastAsia="Arial" w:cs="Arial" w:ascii="Verdana" w:hAnsi="Verdana"/>
                <w:b w:val="false"/>
                <w:bCs w:val="false"/>
                <w:i w:val="false"/>
                <w:iCs w:val="false"/>
                <w:strike w:val="false"/>
                <w:dstrike w:val="false"/>
                <w:outline w:val="false"/>
                <w:shadow w:val="false"/>
                <w:color w:val="000000"/>
                <w:kern w:val="0"/>
                <w:sz w:val="20"/>
                <w:szCs w:val="20"/>
                <w:u w:val="none"/>
                <w:lang w:val="pt-BR" w:eastAsia="zh-CN" w:bidi="ar-SA"/>
              </w:rPr>
              <w:t>4.677/2025</w:t>
            </w:r>
          </w:p>
        </w:tc>
      </w:tr>
    </w:tbl>
    <w:p>
      <w:pPr>
        <w:pStyle w:val="Normal"/>
        <w:suppressAutoHyphens w:val="false"/>
        <w:spacing w:lineRule="auto" w:line="240" w:before="0" w:after="0"/>
        <w:ind w:right="0"/>
        <w:jc w:val="both"/>
        <w:rPr>
          <w:rFonts w:ascii="Verdana" w:hAnsi="Verdana" w:cs="Arial"/>
          <w:b/>
          <w:color w:val="0000FF"/>
          <w:sz w:val="20"/>
          <w:szCs w:val="20"/>
        </w:rPr>
      </w:pPr>
      <w:r>
        <w:rPr>
          <w:rFonts w:cs="Arial" w:ascii="Verdana" w:hAnsi="Verdana"/>
          <w:b/>
          <w:color w:val="0000FF"/>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080" w:right="1080" w:gutter="0" w:header="708" w:top="1440" w:footer="850" w:bottom="1190"/>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tabs>
        <w:tab w:val="clear" w:pos="708"/>
        <w:tab w:val="left" w:pos="0" w:leader="none"/>
      </w:tabs>
      <w:suppressAutoHyphens w:val="true"/>
      <w:overflowPunct w:val="false"/>
      <w:bidi w:val="0"/>
      <w:spacing w:lineRule="auto" w:line="240" w:before="0" w:after="0"/>
      <w:ind w:hanging="0" w:left="0" w:right="0"/>
      <w:jc w:val="center"/>
      <w:rPr>
        <w:rFonts w:ascii="Tahoma" w:hAnsi="Tahoma" w:cs="Tahoma"/>
        <w:sz w:val="16"/>
        <w:szCs w:val="16"/>
      </w:rPr>
    </w:pPr>
    <w:r>
      <w:rPr>
        <w:rFonts w:cs="Tahoma" w:ascii="Tahoma" w:hAnsi="Tahoma"/>
        <w:sz w:val="16"/>
        <w:szCs w:val="16"/>
      </w:rPr>
    </w:r>
  </w:p>
  <w:p>
    <w:pPr>
      <w:pStyle w:val="Normal"/>
      <w:pBdr>
        <w:top w:val="single" w:sz="4" w:space="1" w:color="000000"/>
      </w:pBdr>
      <w:tabs>
        <w:tab w:val="clear" w:pos="708"/>
        <w:tab w:val="center" w:pos="4252" w:leader="none"/>
        <w:tab w:val="right" w:pos="8504" w:leader="none"/>
      </w:tabs>
      <w:spacing w:lineRule="auto" w:line="240" w:before="0" w:after="0"/>
      <w:jc w:val="center"/>
      <w:rPr>
        <w:rFonts w:ascii="Tahoma" w:hAnsi="Tahoma" w:cs="Tahoma"/>
        <w:sz w:val="16"/>
        <w:szCs w:val="16"/>
      </w:rPr>
    </w:pPr>
    <w:r>
      <w:rPr>
        <w:rFonts w:cs="Tahoma" w:ascii="Tahoma" w:hAnsi="Tahoma"/>
        <w:sz w:val="16"/>
        <w:szCs w:val="16"/>
      </w:rPr>
      <w:t>Rua 14 de Maio nº 54 | bairro Glória | São Gabriel da Palha-ES | CEP 29780 000</w:t>
    </w:r>
  </w:p>
  <w:p>
    <w:pPr>
      <w:pStyle w:val="Normal"/>
      <w:pBdr>
        <w:top w:val="single" w:sz="4" w:space="1" w:color="000000"/>
      </w:pBdr>
      <w:tabs>
        <w:tab w:val="clear" w:pos="708"/>
        <w:tab w:val="center" w:pos="4252" w:leader="none"/>
        <w:tab w:val="right" w:pos="8504" w:leader="none"/>
      </w:tabs>
      <w:spacing w:lineRule="auto" w:line="240" w:before="0" w:after="0"/>
      <w:jc w:val="center"/>
      <w:rPr>
        <w:rFonts w:ascii="Tahoma" w:hAnsi="Tahoma" w:cs="Tahoma"/>
        <w:sz w:val="16"/>
        <w:szCs w:val="16"/>
      </w:rPr>
    </w:pPr>
    <w:r>
      <w:rPr>
        <w:rFonts w:cs="Tahoma" w:ascii="Tahoma" w:hAnsi="Tahoma"/>
        <w:sz w:val="16"/>
        <w:szCs w:val="16"/>
      </w:rPr>
      <w:t>Fone/Fax (027) 999 756 571 | E-mail: assistenciasgp@gmail.com</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tabs>
        <w:tab w:val="clear" w:pos="708"/>
        <w:tab w:val="left" w:pos="0" w:leader="none"/>
      </w:tabs>
      <w:suppressAutoHyphens w:val="true"/>
      <w:overflowPunct w:val="false"/>
      <w:bidi w:val="0"/>
      <w:spacing w:lineRule="auto" w:line="240" w:before="0" w:after="0"/>
      <w:ind w:hanging="0" w:left="0" w:right="0"/>
      <w:jc w:val="center"/>
      <w:rPr>
        <w:rFonts w:ascii="Tahoma" w:hAnsi="Tahoma" w:cs="Tahoma"/>
        <w:sz w:val="16"/>
        <w:szCs w:val="16"/>
      </w:rPr>
    </w:pPr>
    <w:r>
      <w:rPr>
        <w:rFonts w:cs="Tahoma" w:ascii="Tahoma" w:hAnsi="Tahoma"/>
        <w:sz w:val="16"/>
        <w:szCs w:val="16"/>
      </w:rPr>
    </w:r>
  </w:p>
  <w:p>
    <w:pPr>
      <w:pStyle w:val="Normal"/>
      <w:pBdr>
        <w:top w:val="single" w:sz="4" w:space="1" w:color="000000"/>
      </w:pBdr>
      <w:tabs>
        <w:tab w:val="clear" w:pos="708"/>
        <w:tab w:val="center" w:pos="4252" w:leader="none"/>
        <w:tab w:val="right" w:pos="8504" w:leader="none"/>
      </w:tabs>
      <w:spacing w:lineRule="auto" w:line="240" w:before="0" w:after="0"/>
      <w:jc w:val="center"/>
      <w:rPr>
        <w:rFonts w:ascii="Tahoma" w:hAnsi="Tahoma" w:cs="Tahoma"/>
        <w:sz w:val="16"/>
        <w:szCs w:val="16"/>
      </w:rPr>
    </w:pPr>
    <w:r>
      <w:rPr>
        <w:rFonts w:cs="Tahoma" w:ascii="Tahoma" w:hAnsi="Tahoma"/>
        <w:sz w:val="16"/>
        <w:szCs w:val="16"/>
      </w:rPr>
      <w:t>Rua 14 de Maio nº 54 | bairro Glória | São Gabriel da Palha-ES | CEP 29780 000</w:t>
    </w:r>
  </w:p>
  <w:p>
    <w:pPr>
      <w:pStyle w:val="Normal"/>
      <w:pBdr>
        <w:top w:val="single" w:sz="4" w:space="1" w:color="000000"/>
      </w:pBdr>
      <w:tabs>
        <w:tab w:val="clear" w:pos="708"/>
        <w:tab w:val="center" w:pos="4252" w:leader="none"/>
        <w:tab w:val="right" w:pos="8504" w:leader="none"/>
      </w:tabs>
      <w:spacing w:lineRule="auto" w:line="240" w:before="0" w:after="0"/>
      <w:jc w:val="center"/>
      <w:rPr>
        <w:rFonts w:ascii="Tahoma" w:hAnsi="Tahoma" w:cs="Tahoma"/>
        <w:sz w:val="16"/>
        <w:szCs w:val="16"/>
      </w:rPr>
    </w:pPr>
    <w:r>
      <w:rPr>
        <w:rFonts w:cs="Tahoma" w:ascii="Tahoma" w:hAnsi="Tahoma"/>
        <w:sz w:val="16"/>
        <w:szCs w:val="16"/>
      </w:rPr>
      <w:t>Fone/Fax (027) 999 756 571 | E-mail: assistenciasgp@gmail.com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1">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 xml:space="preserve">Secretaria Municipal de </w:t>
    </w:r>
    <w:r>
      <w:rPr>
        <w:rFonts w:eastAsia="Times New Roman" w:cs="Arial Narrow" w:ascii="Arial Narrow" w:hAnsi="Arial Narrow"/>
        <w:b/>
        <w:color w:val="auto"/>
        <w:kern w:val="0"/>
        <w:sz w:val="22"/>
        <w:szCs w:val="22"/>
        <w:lang w:val="pt-BR" w:eastAsia="zh-CN" w:bidi="ar-SA"/>
      </w:rPr>
      <w:t>Assistência, Desenvolvimento Social e Família</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1">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 xml:space="preserve">Secretaria Municipal de </w:t>
    </w:r>
    <w:r>
      <w:rPr>
        <w:rFonts w:eastAsia="Times New Roman" w:cs="Arial Narrow" w:ascii="Arial Narrow" w:hAnsi="Arial Narrow"/>
        <w:b/>
        <w:color w:val="auto"/>
        <w:kern w:val="0"/>
        <w:sz w:val="22"/>
        <w:szCs w:val="22"/>
        <w:lang w:val="pt-BR" w:eastAsia="zh-CN" w:bidi="ar-SA"/>
      </w:rPr>
      <w:t>Assistência, Desenvolvimento Social e Família</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20"/>
  <w:displayBackgroundShape/>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Rodap1">
    <w:name w:val="Rodapé1"/>
    <w:basedOn w:val="Normal"/>
    <w:qFormat/>
    <w:pPr>
      <w:tabs>
        <w:tab w:val="clear" w:pos="708"/>
        <w:tab w:val="center" w:pos="4252" w:leader="none"/>
        <w:tab w:val="right" w:pos="8504" w:leader="none"/>
      </w:tabs>
      <w:spacing w:lineRule="auto" w:line="240" w:before="0" w:after="0"/>
    </w:pPr>
    <w:rPr>
      <w:rFonts w:eastAsia="Times New Roman"/>
      <w:lang w:eastAsia="pt-B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ssistenciasgp@gmail.co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1104</TotalTime>
  <Application>LibreOffice/24.2.6.2$Windows_X86_64 LibreOffice_project/ef66aa7e36a1bb8e65bfbc63aba53045a14d0871</Application>
  <AppVersion>15.0000</AppVersion>
  <Pages>10</Pages>
  <Words>3789</Words>
  <Characters>20919</Characters>
  <CharactersWithSpaces>24551</CharactersWithSpaces>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2026-07-23T13:50:08Z</cp:lastPrinted>
  <dcterms:modified xsi:type="dcterms:W3CDTF">2026-07-31T13:07:39Z</dcterms:modified>
  <cp:revision>67</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